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ascii="黑体" w:hAnsi="黑体" w:eastAsia="黑体" w:cs="黑体"/>
          <w:lang w:val="en-US" w:eastAsia="zh-CN"/>
        </w:rPr>
      </w:pPr>
      <w:r>
        <w:rPr>
          <w:rFonts w:hint="eastAsia" w:ascii="黑体" w:hAnsi="黑体" w:eastAsia="黑体" w:cs="黑体"/>
          <w:lang w:val="en-US" w:eastAsia="zh-CN"/>
        </w:rPr>
        <w:t>附件2</w:t>
      </w:r>
    </w:p>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创艺简标宋" w:hAnsi="创艺简标宋" w:eastAsia="创艺简标宋" w:cs="创艺简标宋"/>
          <w:sz w:val="44"/>
          <w:szCs w:val="44"/>
          <w:lang w:val="en-US" w:eastAsia="zh-CN"/>
        </w:rPr>
      </w:pPr>
      <w:bookmarkStart w:id="0" w:name="_GoBack"/>
      <w:r>
        <w:rPr>
          <w:rFonts w:hint="eastAsia" w:ascii="创艺简标宋" w:hAnsi="创艺简标宋" w:eastAsia="创艺简标宋" w:cs="创艺简标宋"/>
          <w:sz w:val="44"/>
          <w:szCs w:val="44"/>
          <w:lang w:val="en-US" w:eastAsia="zh-CN"/>
        </w:rPr>
        <w:t>相关法律法规条文</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一、《中华人民共和国土壤污染防治法》（节选）</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cs="仿宋"/>
          <w:lang w:val="en-US" w:eastAsia="zh-CN"/>
        </w:rPr>
      </w:pPr>
      <w:r>
        <w:rPr>
          <w:rFonts w:hint="eastAsia" w:ascii="仿宋" w:hAnsi="仿宋" w:cs="仿宋"/>
          <w:b/>
          <w:bCs/>
          <w:lang w:val="en-US" w:eastAsia="zh-CN"/>
        </w:rPr>
        <w:t>第二十一条</w:t>
      </w:r>
      <w:r>
        <w:rPr>
          <w:rFonts w:hint="eastAsia" w:ascii="仿宋" w:hAnsi="仿宋" w:cs="仿宋"/>
          <w:lang w:val="en-US" w:eastAsia="zh-CN"/>
        </w:rPr>
        <w:t xml:space="preserve"> 土壤污染重点监管单位应当履行下列义务：</w:t>
      </w:r>
    </w:p>
    <w:p>
      <w:pPr>
        <w:pStyle w:val="3"/>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cs="仿宋"/>
          <w:lang w:val="en-US" w:eastAsia="zh-CN"/>
        </w:rPr>
      </w:pPr>
      <w:r>
        <w:rPr>
          <w:rFonts w:hint="eastAsia" w:ascii="仿宋" w:hAnsi="仿宋" w:cs="仿宋"/>
          <w:lang w:val="en-US" w:eastAsia="zh-CN"/>
        </w:rPr>
        <w:t>（一）严格控制有毒有害物质排放，并按年度向生态环境主管部门报告排放情况；</w:t>
      </w:r>
    </w:p>
    <w:p>
      <w:pPr>
        <w:pStyle w:val="3"/>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cs="仿宋"/>
          <w:lang w:val="en-US" w:eastAsia="zh-CN"/>
        </w:rPr>
      </w:pPr>
      <w:r>
        <w:rPr>
          <w:rFonts w:hint="eastAsia" w:ascii="仿宋" w:hAnsi="仿宋" w:cs="仿宋"/>
          <w:lang w:val="en-US" w:eastAsia="zh-CN"/>
        </w:rPr>
        <w:t>（二）建立土壤污染隐患排查制度，保证持续有效防止有毒有害物质渗漏、流失、扬散；</w:t>
      </w:r>
    </w:p>
    <w:p>
      <w:pPr>
        <w:pStyle w:val="3"/>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cs="仿宋"/>
          <w:lang w:val="en-US" w:eastAsia="zh-CN"/>
        </w:rPr>
      </w:pPr>
      <w:r>
        <w:rPr>
          <w:rFonts w:hint="eastAsia" w:ascii="仿宋" w:hAnsi="仿宋" w:cs="仿宋"/>
          <w:lang w:val="en-US" w:eastAsia="zh-CN"/>
        </w:rPr>
        <w:t>（三）制定、实施自行监测方案，并将监测数据报生态环境主管部门。</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cs="仿宋"/>
          <w:lang w:val="en-US" w:eastAsia="zh-CN"/>
        </w:rPr>
      </w:pPr>
      <w:r>
        <w:rPr>
          <w:rFonts w:hint="eastAsia" w:ascii="仿宋" w:hAnsi="仿宋" w:cs="仿宋"/>
          <w:lang w:val="en-US" w:eastAsia="zh-CN"/>
        </w:rPr>
        <w:t>前款规定的义务应当在排污许可证中载明。</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cs="仿宋"/>
          <w:lang w:val="en-US" w:eastAsia="zh-CN"/>
        </w:rPr>
      </w:pPr>
      <w:r>
        <w:rPr>
          <w:rFonts w:hint="eastAsia" w:ascii="仿宋" w:hAnsi="仿宋" w:cs="仿宋"/>
          <w:lang w:val="en-US" w:eastAsia="zh-CN"/>
        </w:rPr>
        <w:t>土壤污染重点监管单位应当对监测数据的真实性和准确性负责。生态环境主管部门发现土壤污染重点监管单位监测数据异常，应当及时进行调查。</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cs="仿宋"/>
          <w:lang w:val="en-US" w:eastAsia="zh-CN"/>
        </w:rPr>
      </w:pPr>
      <w:r>
        <w:rPr>
          <w:rFonts w:hint="default" w:ascii="仿宋" w:hAnsi="仿宋" w:cs="仿宋"/>
          <w:lang w:val="en-US" w:eastAsia="zh-CN"/>
        </w:rPr>
        <w:t>　</w:t>
      </w:r>
      <w:r>
        <w:rPr>
          <w:rFonts w:hint="eastAsia" w:ascii="仿宋" w:hAnsi="仿宋" w:cs="仿宋"/>
          <w:lang w:val="en-US" w:eastAsia="zh-CN"/>
        </w:rPr>
        <w:t xml:space="preserve">  </w:t>
      </w:r>
      <w:r>
        <w:rPr>
          <w:rFonts w:hint="default" w:ascii="仿宋" w:hAnsi="仿宋" w:cs="仿宋"/>
          <w:b/>
          <w:bCs/>
          <w:lang w:val="en-US" w:eastAsia="zh-CN"/>
        </w:rPr>
        <w:t>第二十二条</w:t>
      </w:r>
      <w:r>
        <w:rPr>
          <w:rFonts w:hint="eastAsia" w:ascii="仿宋" w:hAnsi="仿宋" w:cs="仿宋"/>
          <w:b/>
          <w:bCs/>
          <w:lang w:val="en-US" w:eastAsia="zh-CN"/>
        </w:rPr>
        <w:t xml:space="preserve"> </w:t>
      </w:r>
      <w:r>
        <w:rPr>
          <w:rFonts w:hint="default" w:ascii="仿宋" w:hAnsi="仿宋" w:cs="仿宋"/>
          <w:lang w:val="en-US" w:eastAsia="zh-CN"/>
        </w:rPr>
        <w:t>企业事业单位拆除设施、设备或者建筑物、构筑物的，应当采取相应的土壤污染防治措施。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cs="仿宋"/>
          <w:lang w:val="en-US" w:eastAsia="zh-CN"/>
        </w:rPr>
      </w:pPr>
      <w:r>
        <w:rPr>
          <w:rFonts w:hint="default" w:ascii="仿宋" w:hAnsi="仿宋" w:cs="仿宋"/>
          <w:lang w:val="en-US" w:eastAsia="zh-CN"/>
        </w:rPr>
        <w:t>土壤污染重点监管单位拆除设施、设备或者建筑物、构筑物的，应当制定包括应急措施在内的土壤污染防治工作方案，报地方人民政府生态环境、工业和信息化主管部门备案并实施</w:t>
      </w:r>
      <w:r>
        <w:rPr>
          <w:rFonts w:hint="eastAsia" w:ascii="仿宋" w:hAnsi="仿宋" w:cs="仿宋"/>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二、《工矿用地土壤环境管理办法（试行）》（节选）</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cs="仿宋"/>
          <w:b w:val="0"/>
          <w:bCs w:val="0"/>
          <w:lang w:val="en-US" w:eastAsia="zh-CN"/>
        </w:rPr>
      </w:pPr>
      <w:r>
        <w:rPr>
          <w:rFonts w:hint="default" w:ascii="仿宋" w:hAnsi="仿宋" w:cs="仿宋"/>
          <w:b/>
          <w:bCs/>
          <w:lang w:val="en-US" w:eastAsia="zh-CN"/>
        </w:rPr>
        <w:t xml:space="preserve">第十条 </w:t>
      </w:r>
      <w:r>
        <w:rPr>
          <w:rFonts w:hint="default" w:ascii="仿宋" w:hAnsi="仿宋" w:cs="仿宋"/>
          <w:b w:val="0"/>
          <w:bCs w:val="0"/>
          <w:lang w:val="en-US" w:eastAsia="zh-CN"/>
        </w:rPr>
        <w:t>重点单位现有地下储罐储存有毒有害物质的，应当在本办法公布后一年之内，将地下储罐的信息报所在地设区的市级生态环境主管部门备案。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cs="仿宋"/>
          <w:b w:val="0"/>
          <w:bCs w:val="0"/>
          <w:lang w:val="en-US" w:eastAsia="zh-CN"/>
        </w:rPr>
      </w:pPr>
      <w:r>
        <w:rPr>
          <w:rFonts w:hint="default" w:ascii="仿宋" w:hAnsi="仿宋" w:cs="仿宋"/>
          <w:b w:val="0"/>
          <w:bCs w:val="0"/>
          <w:lang w:val="en-US" w:eastAsia="zh-CN"/>
        </w:rPr>
        <w:t>重点单位新、改、扩建项目地下储罐储存有毒有害物质的，应当在项目投入生产或者使用之前，将地下储罐的信息报所在地设区的市级生态环境主管部门备案。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cs="仿宋"/>
          <w:b w:val="0"/>
          <w:bCs w:val="0"/>
          <w:lang w:val="en-US" w:eastAsia="zh-CN"/>
        </w:rPr>
      </w:pPr>
      <w:r>
        <w:rPr>
          <w:rFonts w:hint="default" w:ascii="仿宋" w:hAnsi="仿宋" w:cs="仿宋"/>
          <w:b w:val="0"/>
          <w:bCs w:val="0"/>
          <w:lang w:val="en-US" w:eastAsia="zh-CN"/>
        </w:rPr>
        <w:t>地下储罐的信息包括地下储罐的使用年限、类型、规格、位置和使用情况等。</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cs="仿宋"/>
          <w:b w:val="0"/>
          <w:bCs w:val="0"/>
          <w:lang w:val="en-US" w:eastAsia="zh-CN"/>
        </w:rPr>
      </w:pPr>
      <w:r>
        <w:rPr>
          <w:rFonts w:hint="default" w:ascii="仿宋" w:hAnsi="仿宋" w:cs="仿宋"/>
          <w:b/>
          <w:bCs/>
          <w:lang w:val="en-US" w:eastAsia="zh-CN"/>
        </w:rPr>
        <w:t xml:space="preserve">第十一条 </w:t>
      </w:r>
      <w:r>
        <w:rPr>
          <w:rFonts w:hint="default" w:ascii="仿宋" w:hAnsi="仿宋" w:cs="仿宋"/>
          <w:b w:val="0"/>
          <w:bCs w:val="0"/>
          <w:lang w:val="en-US" w:eastAsia="zh-CN"/>
        </w:rPr>
        <w:t>重点单位应当建立土壤和地下水污染隐患排查治理制度，定期对重点区域、重点设施开展隐患排查。发现污染隐患的，应当制定整改方案，及时采取技术、管理措施消除隐患。隐患排查、治理情况应当如实记录并建立档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cs="仿宋"/>
          <w:b w:val="0"/>
          <w:bCs w:val="0"/>
          <w:lang w:val="en-US" w:eastAsia="zh-CN"/>
        </w:rPr>
      </w:pPr>
      <w:r>
        <w:rPr>
          <w:rFonts w:hint="default" w:ascii="仿宋" w:hAnsi="仿宋" w:cs="仿宋"/>
          <w:b w:val="0"/>
          <w:bCs w:val="0"/>
          <w:lang w:val="en-US" w:eastAsia="zh-CN"/>
        </w:rPr>
        <w:t>重点区域包括涉及有毒有害物质的生产区，原材料及固体废物的堆存区、储放区和转运区等;重点设施包括涉及有毒有害物质的地下储罐、地下管线，以及污染治理设施等。</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cs="仿宋"/>
          <w:b w:val="0"/>
          <w:bCs w:val="0"/>
          <w:lang w:val="en-US" w:eastAsia="zh-CN"/>
        </w:rPr>
      </w:pPr>
      <w:r>
        <w:rPr>
          <w:rFonts w:hint="default" w:ascii="仿宋" w:hAnsi="仿宋" w:cs="仿宋"/>
          <w:b/>
          <w:bCs/>
          <w:lang w:val="en-US" w:eastAsia="zh-CN"/>
        </w:rPr>
        <w:t xml:space="preserve">第十二条 </w:t>
      </w:r>
      <w:r>
        <w:rPr>
          <w:rFonts w:hint="default" w:ascii="仿宋" w:hAnsi="仿宋" w:cs="仿宋"/>
          <w:b w:val="0"/>
          <w:bCs w:val="0"/>
          <w:lang w:val="en-US" w:eastAsia="zh-CN"/>
        </w:rPr>
        <w:t>重点单位应当按照相关技术规范要求，自行或者委托第三方定期开展土壤和地下水监测，重点监测存在污染隐患的区域和设施周边的土壤、地下水，并按照规定公开相关信息。</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cs="仿宋"/>
          <w:b w:val="0"/>
          <w:bCs w:val="0"/>
          <w:lang w:val="en-US" w:eastAsia="zh-CN"/>
        </w:rPr>
      </w:pPr>
      <w:r>
        <w:rPr>
          <w:rFonts w:hint="default" w:ascii="仿宋" w:hAnsi="仿宋" w:cs="仿宋"/>
          <w:b/>
          <w:bCs/>
          <w:lang w:val="en-US" w:eastAsia="zh-CN"/>
        </w:rPr>
        <w:t xml:space="preserve">第十三条 </w:t>
      </w:r>
      <w:r>
        <w:rPr>
          <w:rFonts w:hint="default" w:ascii="仿宋" w:hAnsi="仿宋" w:cs="仿宋"/>
          <w:b w:val="0"/>
          <w:bCs w:val="0"/>
          <w:lang w:val="en-US" w:eastAsia="zh-CN"/>
        </w:rPr>
        <w:t>重点单位在隐患排查、监测等活动中发现工矿用地土壤和地下水存在污染迹象的，应当排查污染源，查明污染原因，采取措施防止新增污染，并参照污染地块土壤环境管理有关规定及时开展土壤和地下水环境调查与风险评估，根据调查与风险评估结果采取风险管控或者治理与修复等措施。</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cs="仿宋"/>
          <w:b w:val="0"/>
          <w:bCs w:val="0"/>
          <w:lang w:val="en-US" w:eastAsia="zh-CN"/>
        </w:rPr>
      </w:pPr>
      <w:r>
        <w:rPr>
          <w:rFonts w:hint="default" w:ascii="仿宋" w:hAnsi="仿宋" w:cs="仿宋"/>
          <w:b/>
          <w:bCs/>
          <w:lang w:val="en-US" w:eastAsia="zh-CN"/>
        </w:rPr>
        <w:t>第十四条</w:t>
      </w:r>
      <w:r>
        <w:rPr>
          <w:rFonts w:hint="default" w:ascii="仿宋" w:hAnsi="仿宋" w:cs="仿宋"/>
          <w:b w:val="0"/>
          <w:bCs w:val="0"/>
          <w:lang w:val="en-US" w:eastAsia="zh-CN"/>
        </w:rPr>
        <w:t xml:space="preserve"> 重点单位拆除涉及有毒有害物质的生产设施设备、构筑物和污染治理设施的，应当按照有关规定，事先制定企业拆除活动污染防治方案，并在拆除活动前十五个工作日报所在地县级生态环境、工业和信息化主管部门备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cs="仿宋"/>
          <w:b w:val="0"/>
          <w:bCs w:val="0"/>
          <w:lang w:val="en-US" w:eastAsia="zh-CN"/>
        </w:rPr>
      </w:pPr>
      <w:r>
        <w:rPr>
          <w:rFonts w:hint="default" w:ascii="仿宋" w:hAnsi="仿宋" w:cs="仿宋"/>
          <w:b w:val="0"/>
          <w:bCs w:val="0"/>
          <w:lang w:val="en-US" w:eastAsia="zh-CN"/>
        </w:rPr>
        <w:t>企业拆除活动污染防治方案应当包括被拆除生产设施设备、构筑物和污染治理设施的基本情况、拆除活动全过程土壤污染防治的技术要求、针对周边环境的污染防治要求等内容。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cs="仿宋"/>
          <w:b w:val="0"/>
          <w:bCs w:val="0"/>
          <w:lang w:val="en-US" w:eastAsia="zh-CN"/>
        </w:rPr>
      </w:pPr>
      <w:r>
        <w:rPr>
          <w:rFonts w:hint="default" w:ascii="仿宋" w:hAnsi="仿宋" w:cs="仿宋"/>
          <w:b w:val="0"/>
          <w:bCs w:val="0"/>
          <w:lang w:val="en-US" w:eastAsia="zh-CN"/>
        </w:rPr>
        <w:t>重点单位拆除活动应当严格按照有关规定实施残留物料和污染物、污染设备和设施的安全处理处置，并做好拆除活动相关记录，防范拆除活动污染土壤和地下水。拆除活动相关记录应当长期保存。</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cs="仿宋"/>
          <w:b w:val="0"/>
          <w:bCs w:val="0"/>
          <w:lang w:val="en-US" w:eastAsia="zh-CN"/>
        </w:rPr>
      </w:pPr>
      <w:r>
        <w:rPr>
          <w:rFonts w:hint="default" w:ascii="仿宋" w:hAnsi="仿宋" w:cs="仿宋"/>
          <w:b/>
          <w:bCs/>
          <w:lang w:val="en-US" w:eastAsia="zh-CN"/>
        </w:rPr>
        <w:t>第十六条</w:t>
      </w:r>
      <w:r>
        <w:rPr>
          <w:rFonts w:hint="eastAsia" w:ascii="仿宋" w:hAnsi="仿宋" w:cs="仿宋"/>
          <w:b/>
          <w:bCs/>
          <w:lang w:val="en-US" w:eastAsia="zh-CN"/>
        </w:rPr>
        <w:t xml:space="preserve"> </w:t>
      </w:r>
      <w:r>
        <w:rPr>
          <w:rFonts w:hint="eastAsia" w:ascii="仿宋" w:hAnsi="仿宋" w:cs="仿宋"/>
          <w:b w:val="0"/>
          <w:bCs w:val="0"/>
          <w:lang w:val="en-US" w:eastAsia="zh-CN"/>
        </w:rPr>
        <w:t>土壤环境污染重点监管单位终止生产经营活动前，应当参照污染地块土壤环境管理有关规定，开展土壤和地下水环境初步调查，编制调查报告，及时上传全国污染地块土壤环境管理信息系统。</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cs="仿宋"/>
          <w:b w:val="0"/>
          <w:bCs w:val="0"/>
          <w:lang w:val="en-US" w:eastAsia="zh-CN"/>
        </w:rPr>
      </w:pPr>
    </w:p>
    <w:p>
      <w:pPr>
        <w:pStyle w:val="3"/>
        <w:rPr>
          <w:rFonts w:hint="default"/>
          <w:lang w:val="en-US" w:eastAsia="zh-CN"/>
        </w:rPr>
      </w:pPr>
    </w:p>
    <w:p/>
    <w:sectPr>
      <w:headerReference r:id="rId3" w:type="default"/>
      <w:footerReference r:id="rId4" w:type="default"/>
      <w:pgSz w:w="11906" w:h="16838"/>
      <w:pgMar w:top="1440" w:right="1800" w:bottom="1440" w:left="1800"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58ED"/>
    <w:rsid w:val="2B015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next w:val="3"/>
    <w:uiPriority w:val="0"/>
    <w:pPr>
      <w:ind w:firstLine="608" w:firstLineChars="225"/>
    </w:pPr>
    <w:rPr>
      <w:rFonts w:ascii="宋体" w:hAnsi="宋体" w:eastAsia="宋体"/>
      <w:sz w:val="24"/>
      <w:szCs w:val="24"/>
    </w:rPr>
  </w:style>
  <w:style w:type="paragraph" w:styleId="3">
    <w:name w:val="Body Text"/>
    <w:basedOn w:val="1"/>
    <w:next w:val="1"/>
    <w:uiPriority w:val="0"/>
    <w:pPr>
      <w:spacing w:after="12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DEDD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2021-07-01T02:18:00Z</dcterms:created>
  <dc:creator>Wish.</dc:creator>
  <cp:lastModifiedBy>Wish.</cp:lastModifiedBy>
  <dcterms:modified xsi:type="dcterms:W3CDTF">2021-07-01T02:18:36Z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