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bCs/>
          <w:sz w:val="44"/>
          <w:szCs w:val="44"/>
        </w:rPr>
      </w:pPr>
    </w:p>
    <w:p>
      <w:pPr>
        <w:jc w:val="center"/>
        <w:rPr>
          <w:rFonts w:ascii="仿宋" w:hAnsi="仿宋" w:eastAsia="仿宋" w:cs="Times New Roman"/>
          <w:b/>
          <w:bCs/>
          <w:sz w:val="44"/>
          <w:szCs w:val="44"/>
        </w:rPr>
      </w:pPr>
    </w:p>
    <w:p>
      <w:pPr>
        <w:jc w:val="center"/>
        <w:rPr>
          <w:rFonts w:ascii="仿宋" w:hAnsi="仿宋" w:eastAsia="仿宋" w:cs="Times New Roman"/>
          <w:b/>
          <w:bCs/>
          <w:sz w:val="44"/>
          <w:szCs w:val="44"/>
        </w:rPr>
      </w:pPr>
    </w:p>
    <w:p>
      <w:pPr>
        <w:jc w:val="center"/>
        <w:rPr>
          <w:rFonts w:ascii="仿宋" w:hAnsi="仿宋" w:eastAsia="仿宋" w:cs="Times New Roman"/>
          <w:b/>
          <w:bCs/>
          <w:sz w:val="44"/>
          <w:szCs w:val="44"/>
        </w:rPr>
      </w:pPr>
      <w:r>
        <w:rPr>
          <w:rFonts w:hint="eastAsia" w:ascii="仿宋" w:hAnsi="仿宋" w:eastAsia="仿宋" w:cs="Times New Roman"/>
          <w:b/>
          <w:bCs/>
          <w:sz w:val="44"/>
          <w:szCs w:val="44"/>
        </w:rPr>
        <w:t>中山市工业涂装、包装印刷行业挥发性有机物废气控制技术指引</w:t>
      </w:r>
    </w:p>
    <w:p>
      <w:pPr>
        <w:jc w:val="center"/>
        <w:rPr>
          <w:rFonts w:ascii="仿宋" w:hAnsi="仿宋" w:eastAsia="仿宋" w:cs="Times New Roman"/>
          <w:b/>
          <w:bCs/>
          <w:sz w:val="44"/>
          <w:szCs w:val="44"/>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rPr>
          <w:rFonts w:ascii="等线" w:hAnsi="等线" w:eastAsia="等线" w:cs="Times New Roman"/>
        </w:rPr>
      </w:pPr>
    </w:p>
    <w:p>
      <w:pPr>
        <w:pStyle w:val="21"/>
        <w:spacing w:after="156"/>
      </w:pPr>
    </w:p>
    <w:p>
      <w:pPr>
        <w:pStyle w:val="21"/>
        <w:spacing w:after="156"/>
        <w:jc w:val="center"/>
        <w:rPr>
          <w:sz w:val="28"/>
          <w:szCs w:val="28"/>
        </w:rPr>
      </w:pPr>
      <w:r>
        <w:rPr>
          <w:rFonts w:ascii="等线" w:hAnsi="等线" w:eastAsia="等线" w:cs="Times New Roman"/>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466725</wp:posOffset>
                </wp:positionV>
                <wp:extent cx="5419725" cy="19050"/>
                <wp:effectExtent l="0" t="4445" r="5715" b="6985"/>
                <wp:wrapNone/>
                <wp:docPr id="1" name="直接连接符 1"/>
                <wp:cNvGraphicFramePr/>
                <a:graphic xmlns:a="http://schemas.openxmlformats.org/drawingml/2006/main">
                  <a:graphicData uri="http://schemas.microsoft.com/office/word/2010/wordprocessingShape">
                    <wps:wsp>
                      <wps:cNvCnPr/>
                      <wps:spPr>
                        <a:xfrm flipV="1">
                          <a:off x="0" y="0"/>
                          <a:ext cx="5419725" cy="190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3pt;margin-top:36.75pt;height:1.5pt;width:426.75pt;z-index:251659264;mso-width-relative:page;mso-height-relative:page;" filled="f" stroked="t" coordsize="21600,21600" o:gfxdata="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bts/fXAAAACAEAAA8AAAAAAAAAAQAgAAAAIgAAAGRycy9kb3du&#10;cmV2LnhtbFBLAQIUABQAAAAIAIdO4kDoKljzAAIAAO8DAAAOAAAAAAAAAAEAIAAAACYBAABkcnMv&#10;ZTJvRG9jLnhtbFBLBQYAAAAABgAGAFkBAACYBQAAAAA=&#10;">
                <v:fill on="f" focussize="0,0"/>
                <v:stroke color="#000000" joinstyle="round"/>
                <v:imagedata o:title=""/>
                <o:lock v:ext="edit" aspectratio="f"/>
              </v:line>
            </w:pict>
          </mc:Fallback>
        </mc:AlternateContent>
      </w:r>
      <w:r>
        <w:rPr>
          <w:rFonts w:hint="eastAsia"/>
          <w:sz w:val="28"/>
          <w:szCs w:val="28"/>
        </w:rPr>
        <w:t>2021年</w:t>
      </w:r>
      <w:r>
        <w:rPr>
          <w:rFonts w:hint="eastAsia"/>
          <w:sz w:val="28"/>
          <w:szCs w:val="28"/>
          <w:lang w:val="en-US" w:eastAsia="zh-CN"/>
        </w:rPr>
        <w:t>4</w:t>
      </w:r>
      <w:r>
        <w:rPr>
          <w:rFonts w:hint="eastAsia"/>
          <w:sz w:val="28"/>
          <w:szCs w:val="28"/>
        </w:rPr>
        <w:t>月</w:t>
      </w:r>
      <w:r>
        <w:rPr>
          <w:rFonts w:hint="eastAsia"/>
          <w:sz w:val="28"/>
          <w:szCs w:val="28"/>
          <w:lang w:val="en-US" w:eastAsia="zh-CN"/>
        </w:rPr>
        <w:t>13</w:t>
      </w:r>
      <w:r>
        <w:rPr>
          <w:rFonts w:hint="eastAsia"/>
          <w:sz w:val="28"/>
          <w:szCs w:val="28"/>
        </w:rPr>
        <w:t>日 发布</w:t>
      </w:r>
      <w:r>
        <w:rPr>
          <w:rFonts w:hint="eastAsia"/>
          <w:sz w:val="28"/>
          <w:szCs w:val="28"/>
          <w:lang w:val="en-US" w:eastAsia="zh-CN"/>
        </w:rPr>
        <w:t xml:space="preserve">                  </w:t>
      </w:r>
      <w:r>
        <w:rPr>
          <w:rFonts w:hint="eastAsia"/>
          <w:sz w:val="28"/>
          <w:szCs w:val="28"/>
        </w:rPr>
        <w:t>2021年</w:t>
      </w:r>
      <w:r>
        <w:rPr>
          <w:rFonts w:hint="eastAsia"/>
          <w:sz w:val="28"/>
          <w:szCs w:val="28"/>
          <w:lang w:val="en-US" w:eastAsia="zh-CN"/>
        </w:rPr>
        <w:t>4</w:t>
      </w:r>
      <w:r>
        <w:rPr>
          <w:rFonts w:hint="eastAsia"/>
          <w:sz w:val="28"/>
          <w:szCs w:val="28"/>
        </w:rPr>
        <w:t>月</w:t>
      </w:r>
      <w:r>
        <w:rPr>
          <w:rFonts w:hint="eastAsia"/>
          <w:sz w:val="28"/>
          <w:szCs w:val="28"/>
          <w:lang w:val="en-US" w:eastAsia="zh-CN"/>
        </w:rPr>
        <w:t>13</w:t>
      </w:r>
      <w:r>
        <w:rPr>
          <w:rFonts w:hint="eastAsia"/>
          <w:sz w:val="28"/>
          <w:szCs w:val="28"/>
        </w:rPr>
        <w:t>日</w:t>
      </w:r>
      <w:r>
        <w:rPr>
          <w:rFonts w:hint="eastAsia"/>
          <w:sz w:val="28"/>
          <w:szCs w:val="28"/>
          <w:lang w:eastAsia="zh-CN"/>
        </w:rPr>
        <w:t>实施</w:t>
      </w:r>
    </w:p>
    <w:p>
      <w:pPr>
        <w:pStyle w:val="21"/>
        <w:spacing w:after="156"/>
        <w:ind w:firstLine="1325" w:firstLineChars="300"/>
        <w:jc w:val="both"/>
        <w:rPr>
          <w:sz w:val="44"/>
          <w:szCs w:val="44"/>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sz w:val="44"/>
          <w:szCs w:val="44"/>
        </w:rPr>
        <w:t xml:space="preserve">中 山 市 生 态 环 境 局     </w:t>
      </w:r>
      <w:r>
        <w:rPr>
          <w:rFonts w:hint="eastAsia"/>
          <w:sz w:val="32"/>
          <w:szCs w:val="32"/>
        </w:rPr>
        <w:t xml:space="preserve">发布   </w:t>
      </w:r>
    </w:p>
    <w:p>
      <w:pPr>
        <w:pStyle w:val="8"/>
      </w:pPr>
    </w:p>
    <w:p>
      <w:pPr>
        <w:pStyle w:val="8"/>
      </w:pPr>
      <w:r>
        <w:rPr>
          <w:rFonts w:hint="eastAsia"/>
        </w:rPr>
        <w:t>目  次</w:t>
      </w:r>
    </w:p>
    <w:p/>
    <w:p>
      <w:pPr>
        <w:pStyle w:val="8"/>
        <w:rPr>
          <w:sz w:val="28"/>
          <w:szCs w:val="28"/>
        </w:rPr>
      </w:pPr>
      <w:r>
        <w:fldChar w:fldCharType="begin"/>
      </w:r>
      <w:r>
        <w:instrText xml:space="preserve"> TOC \o "1-3" \h \z \u </w:instrText>
      </w:r>
      <w:r>
        <w:fldChar w:fldCharType="separate"/>
      </w:r>
      <w:r>
        <w:fldChar w:fldCharType="begin"/>
      </w:r>
      <w:r>
        <w:instrText xml:space="preserve"> HYPERLINK \l "_Toc14276425" </w:instrText>
      </w:r>
      <w:r>
        <w:fldChar w:fldCharType="separate"/>
      </w:r>
      <w:r>
        <w:rPr>
          <w:rStyle w:val="19"/>
          <w:rFonts w:ascii="Times New Roman" w:hAnsi="Times New Roman" w:cs="Times New Roman"/>
          <w:color w:val="auto"/>
          <w:sz w:val="28"/>
          <w:szCs w:val="28"/>
        </w:rPr>
        <w:t>前 言</w:t>
      </w:r>
      <w:r>
        <w:rPr>
          <w:sz w:val="28"/>
          <w:szCs w:val="28"/>
        </w:rPr>
        <w:tab/>
      </w:r>
      <w:r>
        <w:rPr>
          <w:sz w:val="28"/>
          <w:szCs w:val="28"/>
        </w:rPr>
        <w:fldChar w:fldCharType="begin"/>
      </w:r>
      <w:r>
        <w:rPr>
          <w:sz w:val="28"/>
          <w:szCs w:val="28"/>
        </w:rPr>
        <w:instrText xml:space="preserve"> PAGEREF _Toc14276425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hyphen" w:pos="8296"/>
        </w:tabs>
        <w:rPr>
          <w:rFonts w:ascii="Times New Roman" w:hAnsi="Times New Roman" w:cs="Times New Roman"/>
          <w:sz w:val="28"/>
          <w:szCs w:val="28"/>
        </w:rPr>
      </w:pPr>
      <w:r>
        <w:fldChar w:fldCharType="begin"/>
      </w:r>
      <w:r>
        <w:instrText xml:space="preserve"> HYPERLINK \l "_Toc14276427" </w:instrText>
      </w:r>
      <w:r>
        <w:fldChar w:fldCharType="separate"/>
      </w:r>
      <w:r>
        <w:rPr>
          <w:rStyle w:val="19"/>
          <w:rFonts w:ascii="Times New Roman" w:hAnsi="Times New Roman" w:cs="Times New Roman"/>
          <w:color w:val="auto"/>
          <w:sz w:val="28"/>
          <w:szCs w:val="28"/>
        </w:rPr>
        <w:t>1．适用范围</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_Toc14276427 \h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hyphen" w:pos="8296"/>
        </w:tabs>
        <w:rPr>
          <w:rFonts w:ascii="Times New Roman" w:hAnsi="Times New Roman" w:cs="Times New Roman"/>
          <w:sz w:val="28"/>
          <w:szCs w:val="28"/>
        </w:rPr>
      </w:pPr>
      <w:r>
        <w:fldChar w:fldCharType="begin"/>
      </w:r>
      <w:r>
        <w:instrText xml:space="preserve"> HYPERLINK \l "_Toc14276428" </w:instrText>
      </w:r>
      <w:r>
        <w:fldChar w:fldCharType="separate"/>
      </w:r>
      <w:r>
        <w:rPr>
          <w:rStyle w:val="19"/>
          <w:rFonts w:ascii="Times New Roman" w:hAnsi="Times New Roman" w:cs="Times New Roman"/>
          <w:color w:val="auto"/>
          <w:sz w:val="28"/>
          <w:szCs w:val="28"/>
        </w:rPr>
        <w:t>2．规范性引用文件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_Toc14276428 \h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hyphen" w:pos="8296"/>
        </w:tabs>
        <w:rPr>
          <w:rFonts w:ascii="Times New Roman" w:hAnsi="Times New Roman" w:cs="Times New Roman"/>
          <w:sz w:val="28"/>
          <w:szCs w:val="28"/>
        </w:rPr>
      </w:pPr>
      <w:r>
        <w:fldChar w:fldCharType="begin"/>
      </w:r>
      <w:r>
        <w:instrText xml:space="preserve"> HYPERLINK \l "_Toc14276429" </w:instrText>
      </w:r>
      <w:r>
        <w:fldChar w:fldCharType="separate"/>
      </w:r>
      <w:r>
        <w:rPr>
          <w:rStyle w:val="19"/>
          <w:rFonts w:ascii="Times New Roman" w:hAnsi="Times New Roman" w:cs="Times New Roman"/>
          <w:color w:val="auto"/>
          <w:sz w:val="28"/>
          <w:szCs w:val="28"/>
        </w:rPr>
        <w:t>3．术语和定义</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_Toc14276429 \h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hyphen" w:pos="8296"/>
        </w:tabs>
        <w:rPr>
          <w:rFonts w:ascii="Times New Roman" w:hAnsi="Times New Roman" w:cs="Times New Roman"/>
          <w:sz w:val="28"/>
          <w:szCs w:val="28"/>
        </w:rPr>
      </w:pPr>
      <w:r>
        <w:fldChar w:fldCharType="begin"/>
      </w:r>
      <w:r>
        <w:instrText xml:space="preserve"> HYPERLINK \l "_Toc14276432" </w:instrText>
      </w:r>
      <w:r>
        <w:fldChar w:fldCharType="separate"/>
      </w:r>
      <w:r>
        <w:rPr>
          <w:rStyle w:val="19"/>
          <w:rFonts w:ascii="Times New Roman" w:hAnsi="Times New Roman" w:cs="Times New Roman"/>
          <w:color w:val="auto"/>
          <w:sz w:val="28"/>
          <w:szCs w:val="28"/>
        </w:rPr>
        <w:t>4．控制技术要求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_Toc14276432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9"/>
        <w:tabs>
          <w:tab w:val="right" w:leader="hyphen" w:pos="8296"/>
        </w:tabs>
      </w:pPr>
      <w:r>
        <w:fldChar w:fldCharType="begin"/>
      </w:r>
      <w:r>
        <w:instrText xml:space="preserve"> HYPERLINK \l "_Toc14276437" </w:instrText>
      </w:r>
      <w:r>
        <w:fldChar w:fldCharType="separate"/>
      </w:r>
      <w:r>
        <w:rPr>
          <w:rStyle w:val="19"/>
          <w:rFonts w:ascii="Times New Roman" w:hAnsi="Times New Roman" w:cs="Times New Roman"/>
          <w:color w:val="auto"/>
          <w:sz w:val="28"/>
          <w:szCs w:val="28"/>
        </w:rPr>
        <w:t>5.</w:t>
      </w:r>
      <w:r>
        <w:rPr>
          <w:rStyle w:val="19"/>
          <w:rFonts w:hint="eastAsia" w:ascii="Times New Roman" w:hAnsi="Times New Roman" w:cs="Times New Roman"/>
          <w:color w:val="auto"/>
          <w:sz w:val="28"/>
          <w:szCs w:val="28"/>
          <w:lang w:val="en-US" w:eastAsia="zh-CN"/>
        </w:rPr>
        <w:t xml:space="preserve"> </w:t>
      </w:r>
      <w:r>
        <w:rPr>
          <w:rStyle w:val="19"/>
          <w:rFonts w:ascii="Times New Roman" w:hAnsi="Times New Roman" w:cs="Times New Roman"/>
          <w:color w:val="auto"/>
          <w:sz w:val="28"/>
          <w:szCs w:val="28"/>
        </w:rPr>
        <w:t>管理要求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_Toc14276437 \h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after="156"/>
        <w:sectPr>
          <w:footerReference r:id="rId6" w:type="default"/>
          <w:pgSz w:w="11906" w:h="16838"/>
          <w:pgMar w:top="1440" w:right="1800" w:bottom="1440" w:left="1800" w:header="851" w:footer="992" w:gutter="0"/>
          <w:pgNumType w:fmt="upperRoman" w:start="1"/>
          <w:cols w:space="425" w:num="1"/>
          <w:docGrid w:type="lines" w:linePitch="312" w:charSpace="0"/>
        </w:sectPr>
      </w:pPr>
      <w:r>
        <w:fldChar w:fldCharType="end"/>
      </w:r>
    </w:p>
    <w:p>
      <w:pPr>
        <w:pStyle w:val="21"/>
        <w:spacing w:after="156"/>
        <w:rPr>
          <w:sz w:val="36"/>
          <w:szCs w:val="36"/>
        </w:rPr>
      </w:pPr>
    </w:p>
    <w:p>
      <w:pPr>
        <w:pStyle w:val="21"/>
        <w:spacing w:after="156"/>
        <w:rPr>
          <w:sz w:val="48"/>
          <w:szCs w:val="48"/>
        </w:rPr>
      </w:pPr>
      <w:bookmarkStart w:id="0" w:name="_Toc14276425"/>
      <w:r>
        <w:rPr>
          <w:rFonts w:hint="eastAsia"/>
          <w:sz w:val="48"/>
          <w:szCs w:val="48"/>
        </w:rPr>
        <w:t>前 言</w:t>
      </w:r>
      <w:bookmarkEnd w:id="0"/>
    </w:p>
    <w:p>
      <w:pPr>
        <w:pStyle w:val="21"/>
        <w:spacing w:after="156"/>
        <w:rPr>
          <w:sz w:val="36"/>
          <w:szCs w:val="36"/>
        </w:rPr>
      </w:pPr>
    </w:p>
    <w:p>
      <w:pPr>
        <w:pStyle w:val="25"/>
      </w:pPr>
      <w:r>
        <w:rPr>
          <w:rFonts w:hint="eastAsia"/>
        </w:rPr>
        <w:t>为贯彻执行《中华人民共和国环境保护法》和《中华人民共和国大气污染防治法》，保护和改善中山市环境空气质量，防治大气挥发性有机物污染，保障公众健康，促进经济社会可持续发展，完善环境保护技术体系，制定本指引。</w:t>
      </w:r>
    </w:p>
    <w:p>
      <w:pPr>
        <w:pStyle w:val="25"/>
      </w:pPr>
      <w:r>
        <w:rPr>
          <w:rFonts w:hint="eastAsia"/>
        </w:rPr>
        <w:t>本指引为指导性文件，可作为中山市工业涂装、包装印刷行业挥发性有机物废气治理及管理的参考技术资料。</w:t>
      </w:r>
    </w:p>
    <w:p>
      <w:pPr>
        <w:pStyle w:val="25"/>
      </w:pPr>
      <w:r>
        <w:rPr>
          <w:rFonts w:hint="eastAsia"/>
        </w:rPr>
        <w:t>本指引由中山市生态环境局组织制订。</w:t>
      </w:r>
    </w:p>
    <w:p>
      <w:pPr>
        <w:pStyle w:val="25"/>
      </w:pPr>
      <w:r>
        <w:rPr>
          <w:rFonts w:hint="eastAsia"/>
        </w:rPr>
        <w:t>本指引起草单位：中山大学。</w:t>
      </w:r>
    </w:p>
    <w:p>
      <w:pPr>
        <w:pStyle w:val="25"/>
      </w:pPr>
      <w:r>
        <w:rPr>
          <w:rFonts w:hint="eastAsia"/>
        </w:rPr>
        <w:t>本指引由中山市生态环境局 2021年</w:t>
      </w:r>
      <w:r>
        <w:rPr>
          <w:rFonts w:hint="eastAsia"/>
          <w:lang w:val="en-US" w:eastAsia="zh-CN"/>
        </w:rPr>
        <w:t>4</w:t>
      </w:r>
      <w:r>
        <w:rPr>
          <w:rFonts w:hint="eastAsia"/>
        </w:rPr>
        <w:t>月</w:t>
      </w:r>
      <w:r>
        <w:rPr>
          <w:rFonts w:hint="eastAsia"/>
          <w:lang w:val="en-US" w:eastAsia="zh-CN"/>
        </w:rPr>
        <w:t>13</w:t>
      </w:r>
      <w:r>
        <w:rPr>
          <w:rFonts w:hint="eastAsia"/>
        </w:rPr>
        <w:t>日批准。</w:t>
      </w:r>
    </w:p>
    <w:p>
      <w:pPr>
        <w:pStyle w:val="25"/>
      </w:pPr>
      <w:r>
        <w:rPr>
          <w:rFonts w:hint="eastAsia"/>
        </w:rPr>
        <w:t>本指引自 2021年</w:t>
      </w:r>
      <w:r>
        <w:rPr>
          <w:rFonts w:hint="eastAsia"/>
          <w:lang w:val="en-US" w:eastAsia="zh-CN"/>
        </w:rPr>
        <w:t>4</w:t>
      </w:r>
      <w:r>
        <w:rPr>
          <w:rFonts w:hint="eastAsia"/>
        </w:rPr>
        <w:t>月</w:t>
      </w:r>
      <w:r>
        <w:rPr>
          <w:rFonts w:hint="eastAsia"/>
          <w:lang w:val="en-US" w:eastAsia="zh-CN"/>
        </w:rPr>
        <w:t>13</w:t>
      </w:r>
      <w:r>
        <w:rPr>
          <w:rFonts w:hint="eastAsia"/>
        </w:rPr>
        <w:t>日起实施。</w:t>
      </w:r>
    </w:p>
    <w:p>
      <w:pPr>
        <w:pStyle w:val="25"/>
      </w:pPr>
      <w:r>
        <w:rPr>
          <w:rFonts w:hint="eastAsia"/>
        </w:rPr>
        <w:t>本指引为首次发布，将依据环保要求的提高和环保技术的发展适时更新。</w:t>
      </w:r>
    </w:p>
    <w:p>
      <w:pPr>
        <w:pStyle w:val="25"/>
      </w:pPr>
      <w:r>
        <w:rPr>
          <w:rFonts w:hint="eastAsia"/>
        </w:rPr>
        <w:t>本指引由中山市生态环境局解释。</w:t>
      </w:r>
    </w:p>
    <w:p>
      <w:pPr>
        <w:pStyle w:val="21"/>
        <w:spacing w:after="156"/>
      </w:pPr>
    </w:p>
    <w:p>
      <w:pPr>
        <w:pStyle w:val="21"/>
        <w:spacing w:after="156"/>
        <w:sectPr>
          <w:pgSz w:w="11906" w:h="16838"/>
          <w:pgMar w:top="1440" w:right="1800" w:bottom="1440" w:left="1800" w:header="851" w:footer="992" w:gutter="0"/>
          <w:pgNumType w:start="1"/>
          <w:cols w:space="425" w:num="1"/>
          <w:docGrid w:type="lines" w:linePitch="312" w:charSpace="0"/>
        </w:sectPr>
      </w:pPr>
    </w:p>
    <w:p>
      <w:pPr>
        <w:pStyle w:val="21"/>
        <w:spacing w:after="156"/>
      </w:pPr>
      <w:bookmarkStart w:id="1" w:name="_Toc14276426"/>
      <w:r>
        <w:rPr>
          <w:rFonts w:hint="eastAsia"/>
        </w:rPr>
        <w:t>中山市工业涂装、包装印刷行业挥发性有机物废气控制技术</w:t>
      </w:r>
      <w:bookmarkEnd w:id="1"/>
      <w:r>
        <w:rPr>
          <w:rFonts w:hint="eastAsia"/>
        </w:rPr>
        <w:t>指引</w:t>
      </w:r>
    </w:p>
    <w:p>
      <w:pPr>
        <w:pStyle w:val="22"/>
        <w:spacing w:before="156" w:after="156"/>
        <w:ind w:firstLine="0" w:firstLineChars="0"/>
      </w:pPr>
      <w:bookmarkStart w:id="2" w:name="_Toc14276427"/>
      <w:r>
        <w:rPr>
          <w:rFonts w:hint="eastAsia"/>
        </w:rPr>
        <w:t>1．适用范围</w:t>
      </w:r>
      <w:bookmarkEnd w:id="2"/>
    </w:p>
    <w:p>
      <w:pPr>
        <w:pStyle w:val="25"/>
      </w:pPr>
      <w:r>
        <w:rPr>
          <w:rFonts w:hint="eastAsia"/>
        </w:rPr>
        <w:t>本指引适用于中山市内工业涂装、包装印刷制造企业生产过程中挥发性有机物（VOCs）的控制管理。</w:t>
      </w:r>
    </w:p>
    <w:p>
      <w:pPr>
        <w:pStyle w:val="22"/>
        <w:spacing w:before="156" w:after="156"/>
        <w:ind w:firstLine="0" w:firstLineChars="0"/>
      </w:pPr>
      <w:bookmarkStart w:id="3" w:name="_Toc14276428"/>
      <w:r>
        <w:rPr>
          <w:rFonts w:hint="eastAsia"/>
        </w:rPr>
        <w:t>2．规范性引用文件</w:t>
      </w:r>
      <w:bookmarkEnd w:id="3"/>
    </w:p>
    <w:p>
      <w:pPr>
        <w:pStyle w:val="25"/>
      </w:pPr>
      <w:r>
        <w:rPr>
          <w:rFonts w:hint="eastAsia"/>
        </w:rPr>
        <w:t>AQ/T4274 局部排风设施控制风速检测与评估技术规范</w:t>
      </w:r>
    </w:p>
    <w:p>
      <w:pPr>
        <w:pStyle w:val="25"/>
      </w:pPr>
      <w:r>
        <w:rPr>
          <w:rFonts w:hint="eastAsia"/>
        </w:rPr>
        <w:t>GB13347石油气体管道阻火器</w:t>
      </w:r>
    </w:p>
    <w:p>
      <w:pPr>
        <w:pStyle w:val="25"/>
      </w:pPr>
      <w:r>
        <w:rPr>
          <w:rFonts w:hint="eastAsia"/>
        </w:rPr>
        <w:t>GB14444 涂装作业安全规程 喷漆室安全技术规定</w:t>
      </w:r>
    </w:p>
    <w:p>
      <w:pPr>
        <w:pStyle w:val="25"/>
      </w:pPr>
      <w:r>
        <w:rPr>
          <w:rFonts w:hint="eastAsia"/>
        </w:rPr>
        <w:t>GB20101 涂装作业安全规程 有机废气净化装置安全技术规定</w:t>
      </w:r>
    </w:p>
    <w:p>
      <w:pPr>
        <w:pStyle w:val="25"/>
      </w:pPr>
      <w:r>
        <w:rPr>
          <w:rFonts w:hint="eastAsia"/>
        </w:rPr>
        <w:t>GB 37822  挥发性有机物无组织排放控制标准</w:t>
      </w:r>
    </w:p>
    <w:p>
      <w:pPr>
        <w:pStyle w:val="25"/>
      </w:pPr>
      <w:r>
        <w:rPr>
          <w:rFonts w:hint="eastAsia"/>
        </w:rPr>
        <w:t>GB3836.4爆炸性气体环境用电气设备第4部分：本质安全型</w:t>
      </w:r>
    </w:p>
    <w:p>
      <w:pPr>
        <w:pStyle w:val="25"/>
      </w:pPr>
      <w:r>
        <w:rPr>
          <w:rFonts w:hint="eastAsia"/>
        </w:rPr>
        <w:t>GB50016建筑设计防火规范</w:t>
      </w:r>
    </w:p>
    <w:p>
      <w:pPr>
        <w:pStyle w:val="25"/>
      </w:pPr>
      <w:r>
        <w:rPr>
          <w:rFonts w:hint="eastAsia"/>
        </w:rPr>
        <w:t>GB50019采暖通风与空气调节设计规范</w:t>
      </w:r>
    </w:p>
    <w:p>
      <w:pPr>
        <w:pStyle w:val="25"/>
      </w:pPr>
      <w:r>
        <w:rPr>
          <w:rFonts w:hint="eastAsia"/>
        </w:rPr>
        <w:t>GB50051排气筒设计规范</w:t>
      </w:r>
    </w:p>
    <w:p>
      <w:pPr>
        <w:pStyle w:val="25"/>
      </w:pPr>
      <w:r>
        <w:rPr>
          <w:rFonts w:hint="eastAsia"/>
        </w:rPr>
        <w:t>GB50057建筑物防雷设计规范</w:t>
      </w:r>
    </w:p>
    <w:p>
      <w:pPr>
        <w:pStyle w:val="25"/>
      </w:pPr>
      <w:r>
        <w:rPr>
          <w:rFonts w:hint="eastAsia"/>
        </w:rPr>
        <w:t>GB50058爆炸和火灾危险环境电力装置设计规范</w:t>
      </w:r>
    </w:p>
    <w:p>
      <w:pPr>
        <w:pStyle w:val="25"/>
      </w:pPr>
      <w:r>
        <w:rPr>
          <w:rFonts w:hint="eastAsia"/>
        </w:rPr>
        <w:t>GB50187工业企业总平面设计规范</w:t>
      </w:r>
    </w:p>
    <w:p>
      <w:pPr>
        <w:pStyle w:val="25"/>
      </w:pPr>
      <w:r>
        <w:rPr>
          <w:rFonts w:hint="eastAsia"/>
        </w:rPr>
        <w:t>GB/T16157固定污染源排气中颗粒物测定与气态污染物采样方法</w:t>
      </w:r>
    </w:p>
    <w:p>
      <w:pPr>
        <w:pStyle w:val="25"/>
      </w:pPr>
      <w:r>
        <w:rPr>
          <w:rFonts w:hint="eastAsia"/>
        </w:rPr>
        <w:t>HGJ229工业设备、管道防腐蚀工程施工及验收规范</w:t>
      </w:r>
    </w:p>
    <w:p>
      <w:pPr>
        <w:pStyle w:val="25"/>
      </w:pPr>
      <w:r>
        <w:rPr>
          <w:rFonts w:hint="eastAsia"/>
        </w:rPr>
        <w:t>HJ/T1气体参数测量和采样的固定位装置</w:t>
      </w:r>
    </w:p>
    <w:p>
      <w:pPr>
        <w:pStyle w:val="25"/>
      </w:pPr>
      <w:r>
        <w:rPr>
          <w:rFonts w:hint="eastAsia"/>
        </w:rPr>
        <w:t>HJ459 环境标志产品技术要求 木质门和钢质门</w:t>
      </w:r>
    </w:p>
    <w:p>
      <w:pPr>
        <w:pStyle w:val="25"/>
      </w:pPr>
      <w:r>
        <w:rPr>
          <w:rFonts w:hint="eastAsia"/>
        </w:rPr>
        <w:t>HJ571 环境标志产品技术要求 人造板及其制品</w:t>
      </w:r>
    </w:p>
    <w:p>
      <w:pPr>
        <w:pStyle w:val="25"/>
      </w:pPr>
      <w:r>
        <w:rPr>
          <w:rFonts w:hint="eastAsia"/>
        </w:rPr>
        <w:t>HJ2000大气污染治理工程技术导则</w:t>
      </w:r>
    </w:p>
    <w:p>
      <w:pPr>
        <w:pStyle w:val="25"/>
      </w:pPr>
      <w:r>
        <w:rPr>
          <w:rFonts w:hint="eastAsia"/>
        </w:rPr>
        <w:t>HJ2026吸附法工业有机废气治理工程技术规范</w:t>
      </w:r>
    </w:p>
    <w:p>
      <w:pPr>
        <w:pStyle w:val="25"/>
      </w:pPr>
      <w:r>
        <w:rPr>
          <w:rFonts w:hint="eastAsia"/>
        </w:rPr>
        <w:t>HJ2027催化燃烧法工业有机气体治理工程技术规范</w:t>
      </w:r>
    </w:p>
    <w:p>
      <w:pPr>
        <w:pStyle w:val="25"/>
      </w:pPr>
      <w:r>
        <w:rPr>
          <w:rFonts w:hint="eastAsia"/>
        </w:rPr>
        <w:t>HJ2537 环境标志产品技术要求 水性涂料</w:t>
      </w:r>
    </w:p>
    <w:p>
      <w:pPr>
        <w:pStyle w:val="25"/>
      </w:pPr>
      <w:r>
        <w:rPr>
          <w:rFonts w:hint="eastAsia"/>
        </w:rPr>
        <w:t>HJ/T220 环境标志产品技术要求 胶粘剂</w:t>
      </w:r>
    </w:p>
    <w:p>
      <w:pPr>
        <w:pStyle w:val="25"/>
      </w:pPr>
      <w:r>
        <w:rPr>
          <w:rFonts w:hint="eastAsia"/>
        </w:rPr>
        <w:t>HJ/T303 环境标志产品技术要求 家具</w:t>
      </w:r>
    </w:p>
    <w:p>
      <w:pPr>
        <w:pStyle w:val="25"/>
      </w:pPr>
      <w:r>
        <w:rPr>
          <w:rFonts w:hint="eastAsia"/>
        </w:rPr>
        <w:t>HJ/T386 环境保护产品技术要求 工业废气吸附净化装置</w:t>
      </w:r>
    </w:p>
    <w:p>
      <w:pPr>
        <w:pStyle w:val="25"/>
      </w:pPr>
      <w:r>
        <w:rPr>
          <w:rFonts w:hint="eastAsia"/>
        </w:rPr>
        <w:t>HJ /T387  环境保护产品技术要求 工业废气吸收净化装置</w:t>
      </w:r>
    </w:p>
    <w:p>
      <w:pPr>
        <w:pStyle w:val="25"/>
      </w:pPr>
      <w:r>
        <w:rPr>
          <w:rFonts w:hint="eastAsia"/>
        </w:rPr>
        <w:t>HJ/T388   环境保护产品技术要求  湿法漆雾过滤净化装置</w:t>
      </w:r>
    </w:p>
    <w:p>
      <w:pPr>
        <w:pStyle w:val="25"/>
      </w:pPr>
      <w:r>
        <w:rPr>
          <w:rFonts w:hint="eastAsia"/>
        </w:rPr>
        <w:t>HJ/T389   环境保护产品技术要求  工业有机废气催化净化装置</w:t>
      </w:r>
    </w:p>
    <w:p>
      <w:pPr>
        <w:pStyle w:val="25"/>
      </w:pPr>
      <w:r>
        <w:rPr>
          <w:rFonts w:hint="eastAsia"/>
        </w:rPr>
        <w:t>HJ/T414 环境标志产品技术要求 室内装饰装修用溶剂型木器涂料</w:t>
      </w:r>
    </w:p>
    <w:p>
      <w:pPr>
        <w:pStyle w:val="25"/>
      </w:pPr>
      <w:r>
        <w:rPr>
          <w:rFonts w:hint="eastAsia"/>
        </w:rPr>
        <w:t>JJF1049温度传感器动态响应校准</w:t>
      </w:r>
    </w:p>
    <w:p>
      <w:pPr>
        <w:pStyle w:val="25"/>
      </w:pPr>
      <w:r>
        <w:rPr>
          <w:rFonts w:hint="eastAsia"/>
        </w:rPr>
        <w:t>2016年国家先进污染防治技术目录（VOCs防治领域）</w:t>
      </w:r>
    </w:p>
    <w:p>
      <w:pPr>
        <w:pStyle w:val="25"/>
      </w:pPr>
      <w:r>
        <w:rPr>
          <w:rFonts w:hint="eastAsia"/>
        </w:rPr>
        <w:t>污染源自动监控管理办法（国家环境保护局令 第28号）</w:t>
      </w:r>
    </w:p>
    <w:p>
      <w:pPr>
        <w:pStyle w:val="25"/>
      </w:pPr>
      <w:r>
        <w:rPr>
          <w:rFonts w:hint="eastAsia"/>
        </w:rPr>
        <w:t>《重点行业挥发性有机物综合治理方案》（生态环境部2019年6月26日）</w:t>
      </w:r>
    </w:p>
    <w:p>
      <w:pPr>
        <w:pStyle w:val="22"/>
        <w:spacing w:before="156" w:after="156"/>
        <w:ind w:firstLine="0" w:firstLineChars="0"/>
      </w:pPr>
      <w:bookmarkStart w:id="4" w:name="_Toc14276429"/>
      <w:r>
        <w:rPr>
          <w:rFonts w:hint="eastAsia"/>
        </w:rPr>
        <w:t>3．术语和定义</w:t>
      </w:r>
      <w:bookmarkEnd w:id="4"/>
    </w:p>
    <w:p>
      <w:pPr>
        <w:pStyle w:val="24"/>
        <w:spacing w:before="156" w:after="156"/>
        <w:ind w:firstLine="0" w:firstLineChars="0"/>
      </w:pPr>
      <w:r>
        <w:rPr>
          <w:rFonts w:hint="eastAsia"/>
        </w:rPr>
        <w:t>3.1 挥发性有机化合物</w:t>
      </w:r>
    </w:p>
    <w:p>
      <w:pPr>
        <w:pStyle w:val="25"/>
      </w:pPr>
      <w:r>
        <w:rPr>
          <w:rFonts w:hint="eastAsia"/>
        </w:rPr>
        <w:t>在293.15K条件下蒸气压大于或等于10Pa，或者特定适用条件下具有相应挥发性的任何参加大气光化学反应的碳化合物（CH</w:t>
      </w:r>
      <w:r>
        <w:rPr>
          <w:rFonts w:hint="eastAsia"/>
          <w:vertAlign w:val="subscript"/>
        </w:rPr>
        <w:t>4</w:t>
      </w:r>
      <w:r>
        <w:rPr>
          <w:rFonts w:hint="eastAsia"/>
        </w:rPr>
        <w:t>、CO、CO</w:t>
      </w:r>
      <w:r>
        <w:rPr>
          <w:rFonts w:hint="eastAsia"/>
          <w:vertAlign w:val="subscript"/>
        </w:rPr>
        <w:t>2</w:t>
      </w:r>
      <w:r>
        <w:rPr>
          <w:rFonts w:hint="eastAsia"/>
        </w:rPr>
        <w:t>、H</w:t>
      </w:r>
      <w:r>
        <w:rPr>
          <w:rFonts w:hint="eastAsia"/>
          <w:vertAlign w:val="subscript"/>
        </w:rPr>
        <w:t>2</w:t>
      </w:r>
      <w:r>
        <w:rPr>
          <w:rFonts w:hint="eastAsia"/>
        </w:rPr>
        <w:t>CO</w:t>
      </w:r>
      <w:r>
        <w:rPr>
          <w:rFonts w:hint="eastAsia"/>
          <w:vertAlign w:val="subscript"/>
        </w:rPr>
        <w:t>3</w:t>
      </w:r>
      <w:r>
        <w:rPr>
          <w:rFonts w:hint="eastAsia"/>
        </w:rPr>
        <w:t>、金属碳化物、金属碳酸盐和碳酸铵除外）。主要包括具有挥发性的非甲烷烃类（烷烃、烯烃、炔烃、芳香烃）、含氧有机化合物（醛、酮、醇、醚等）、卤代烃、含氮有机化合物、含硫有机化合物等。</w:t>
      </w:r>
    </w:p>
    <w:p>
      <w:pPr>
        <w:pStyle w:val="23"/>
        <w:spacing w:before="156" w:after="156"/>
        <w:ind w:firstLine="0" w:firstLineChars="0"/>
        <w:outlineLvl w:val="3"/>
      </w:pPr>
      <w:bookmarkStart w:id="5" w:name="_Toc14276430"/>
      <w:r>
        <w:rPr>
          <w:rFonts w:hint="eastAsia"/>
        </w:rPr>
        <w:t>3.2 工业涂装</w:t>
      </w:r>
      <w:bookmarkEnd w:id="5"/>
    </w:p>
    <w:p>
      <w:pPr>
        <w:pStyle w:val="25"/>
      </w:pPr>
      <w:r>
        <w:rPr>
          <w:rFonts w:hint="eastAsia"/>
        </w:rPr>
        <w:t>工业生产中涂料调配、表面前处理（脱脂、除旧漆等）、涂覆（含底漆、中涂、面漆、清漆）、流平、干燥等环节的生产工序。</w:t>
      </w:r>
    </w:p>
    <w:p>
      <w:pPr>
        <w:pStyle w:val="24"/>
        <w:spacing w:before="156" w:after="156"/>
        <w:ind w:firstLine="0" w:firstLineChars="0"/>
      </w:pPr>
      <w:r>
        <w:rPr>
          <w:rFonts w:hint="eastAsia"/>
        </w:rPr>
        <w:t>3.3 包装印刷</w:t>
      </w:r>
    </w:p>
    <w:p>
      <w:pPr>
        <w:pStyle w:val="25"/>
      </w:pPr>
      <w:r>
        <w:rPr>
          <w:rFonts w:hint="eastAsia"/>
        </w:rPr>
        <w:t>根据一定的商品属性、形态，采用一定的包装材料，经过对商品包装的造型结构艺术和图案文字的设计与安排来装饰美化商品的印刷，以及其他印刷活动。</w:t>
      </w:r>
    </w:p>
    <w:p>
      <w:pPr>
        <w:pStyle w:val="24"/>
        <w:spacing w:before="156" w:after="156"/>
        <w:ind w:firstLine="0" w:firstLineChars="0"/>
      </w:pPr>
      <w:r>
        <w:rPr>
          <w:rFonts w:hint="eastAsia"/>
        </w:rPr>
        <w:t>3.4 溶剂型油墨（涂料）</w:t>
      </w:r>
    </w:p>
    <w:p>
      <w:pPr>
        <w:pStyle w:val="25"/>
      </w:pPr>
      <w:r>
        <w:rPr>
          <w:rFonts w:hint="eastAsia"/>
        </w:rPr>
        <w:t>以有机溶剂作为分散介质而得到的油墨（涂料）。</w:t>
      </w:r>
    </w:p>
    <w:p>
      <w:pPr>
        <w:pStyle w:val="24"/>
        <w:spacing w:before="156" w:after="156"/>
        <w:ind w:firstLine="0" w:firstLineChars="0"/>
      </w:pPr>
      <w:r>
        <w:rPr>
          <w:rFonts w:hint="eastAsia"/>
        </w:rPr>
        <w:t>3.5 水性油墨（涂料）</w:t>
      </w:r>
    </w:p>
    <w:p>
      <w:pPr>
        <w:pStyle w:val="25"/>
      </w:pPr>
      <w:r>
        <w:rPr>
          <w:rFonts w:hint="eastAsia"/>
        </w:rPr>
        <w:t>以水为溶剂或以水为分散介质的油墨（涂料）。</w:t>
      </w:r>
    </w:p>
    <w:p>
      <w:pPr>
        <w:pStyle w:val="24"/>
        <w:spacing w:before="156" w:after="156"/>
        <w:ind w:firstLine="0" w:firstLineChars="0"/>
      </w:pPr>
      <w:r>
        <w:rPr>
          <w:rFonts w:hint="eastAsia"/>
        </w:rPr>
        <w:t>3.6 UV涂料</w:t>
      </w:r>
    </w:p>
    <w:p>
      <w:pPr>
        <w:pStyle w:val="25"/>
      </w:pPr>
      <w:r>
        <w:rPr>
          <w:rFonts w:hint="eastAsia"/>
        </w:rPr>
        <w:t>紫外光固化涂料，能在紫外线照射作用下瞬间固化的涂料。</w:t>
      </w:r>
    </w:p>
    <w:p>
      <w:pPr>
        <w:pStyle w:val="24"/>
        <w:spacing w:before="156" w:after="156"/>
        <w:ind w:firstLine="0" w:firstLineChars="0"/>
      </w:pPr>
      <w:r>
        <w:rPr>
          <w:rFonts w:hint="eastAsia"/>
        </w:rPr>
        <w:t>3.7 粉末涂料</w:t>
      </w:r>
    </w:p>
    <w:p>
      <w:pPr>
        <w:pStyle w:val="25"/>
      </w:pPr>
      <w:r>
        <w:rPr>
          <w:rFonts w:hint="eastAsia"/>
        </w:rPr>
        <w:t>100%固体的涂料，通常使用静电喷涂工艺，把微细、干燥的粉末涂装到表面上，然后加热融化，使颗粒流动融合或者形成固化。</w:t>
      </w:r>
    </w:p>
    <w:p>
      <w:pPr>
        <w:pStyle w:val="24"/>
        <w:spacing w:before="156" w:after="156"/>
        <w:ind w:firstLine="0" w:firstLineChars="0"/>
      </w:pPr>
      <w:r>
        <w:rPr>
          <w:rFonts w:hint="eastAsia"/>
        </w:rPr>
        <w:t xml:space="preserve">3.8 </w:t>
      </w:r>
      <w:r>
        <w:t>EB</w:t>
      </w:r>
      <w:r>
        <w:rPr>
          <w:rFonts w:hint="eastAsia"/>
        </w:rPr>
        <w:t>固化油墨</w:t>
      </w:r>
      <w:r>
        <w:t> </w:t>
      </w:r>
    </w:p>
    <w:p>
      <w:pPr>
        <w:pStyle w:val="25"/>
      </w:pPr>
      <w:r>
        <w:rPr>
          <w:rFonts w:hint="eastAsia"/>
        </w:rPr>
        <w:t>电子束固化油墨，能在电子束照射作用下瞬间固化的油墨。</w:t>
      </w:r>
    </w:p>
    <w:p>
      <w:pPr>
        <w:pStyle w:val="24"/>
        <w:spacing w:before="156" w:after="156"/>
        <w:ind w:firstLine="0" w:firstLineChars="0"/>
      </w:pPr>
      <w:r>
        <w:rPr>
          <w:rFonts w:hint="eastAsia"/>
        </w:rPr>
        <w:t>3.9 植物油基油墨</w:t>
      </w:r>
    </w:p>
    <w:p>
      <w:pPr>
        <w:pStyle w:val="25"/>
      </w:pPr>
      <w:r>
        <w:rPr>
          <w:rFonts w:hint="eastAsia"/>
        </w:rPr>
        <w:t>用植物油作为连接料的油墨。常指为大豆油油墨。</w:t>
      </w:r>
    </w:p>
    <w:p>
      <w:pPr>
        <w:pStyle w:val="24"/>
        <w:spacing w:before="156" w:after="156"/>
        <w:ind w:firstLine="0" w:firstLineChars="0"/>
      </w:pPr>
      <w:r>
        <w:rPr>
          <w:rFonts w:hint="eastAsia"/>
        </w:rPr>
        <w:t>3.10 醇溶性油墨</w:t>
      </w:r>
      <w:r>
        <w:t> </w:t>
      </w:r>
    </w:p>
    <w:p>
      <w:pPr>
        <w:pStyle w:val="25"/>
      </w:pPr>
      <w:r>
        <w:rPr>
          <w:rFonts w:hint="eastAsia"/>
        </w:rPr>
        <w:t>以醇溶性合成树脂、溶剂及颜料组成的油墨。</w:t>
      </w:r>
    </w:p>
    <w:p>
      <w:pPr>
        <w:pStyle w:val="23"/>
        <w:spacing w:before="156" w:after="156"/>
        <w:ind w:firstLine="0" w:firstLineChars="0"/>
        <w:outlineLvl w:val="3"/>
      </w:pPr>
      <w:bookmarkStart w:id="6" w:name="_Toc14276431"/>
      <w:r>
        <w:rPr>
          <w:rFonts w:hint="eastAsia"/>
        </w:rPr>
        <w:t>3.11 复合</w:t>
      </w:r>
      <w:bookmarkEnd w:id="6"/>
    </w:p>
    <w:p>
      <w:pPr>
        <w:pStyle w:val="25"/>
      </w:pPr>
      <w:r>
        <w:rPr>
          <w:rFonts w:hint="eastAsia"/>
        </w:rPr>
        <w:t>使用胶粘剂，将不同的基材通过压贴粘合形成两种或多种材料组合的一种印后加工方式。</w:t>
      </w:r>
    </w:p>
    <w:p>
      <w:pPr>
        <w:pStyle w:val="24"/>
        <w:spacing w:before="156" w:after="156"/>
        <w:ind w:firstLine="0" w:firstLineChars="0"/>
      </w:pPr>
      <w:r>
        <w:rPr>
          <w:rFonts w:hint="eastAsia"/>
        </w:rPr>
        <w:t xml:space="preserve">3.12 </w:t>
      </w:r>
      <w:r>
        <w:t>治理效率</w:t>
      </w:r>
    </w:p>
    <w:p>
      <w:pPr>
        <w:pStyle w:val="25"/>
      </w:pPr>
      <w:r>
        <w:t>指治理设施捕获污染物的量与处理前污染物的量之比，以百分数表示。计算公式如下：</w:t>
      </w:r>
    </w:p>
    <w:p>
      <w:pPr>
        <w:pStyle w:val="25"/>
      </w:pPr>
      <w:r>
        <w:rPr>
          <w:rFonts w:hint="eastAsia"/>
        </w:rPr>
        <w:object>
          <v:shape id="_x0000_i1025" o:spt="75" type="#_x0000_t75" style="height:34.2pt;width:129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pStyle w:val="25"/>
      </w:pPr>
      <w:r>
        <w:t>式中：</w:t>
      </w:r>
    </w:p>
    <w:p>
      <w:pPr>
        <w:pStyle w:val="25"/>
      </w:pPr>
      <w:r>
        <w:rPr>
          <w:i/>
          <w:iCs/>
        </w:rPr>
        <w:t>η</w:t>
      </w:r>
      <w:r>
        <w:t>——治理设施的治理效率，％；</w:t>
      </w:r>
    </w:p>
    <w:p>
      <w:pPr>
        <w:pStyle w:val="25"/>
      </w:pPr>
      <w:r>
        <w:rPr>
          <w:i/>
          <w:iCs/>
        </w:rPr>
        <w:t>C</w:t>
      </w:r>
      <w:r>
        <w:rPr>
          <w:i/>
          <w:iCs/>
          <w:vertAlign w:val="subscript"/>
        </w:rPr>
        <w:t>1</w:t>
      </w:r>
      <w:r>
        <w:t>、</w:t>
      </w:r>
      <w:r>
        <w:rPr>
          <w:i/>
          <w:iCs/>
        </w:rPr>
        <w:t>C</w:t>
      </w:r>
      <w:r>
        <w:rPr>
          <w:i/>
          <w:iCs/>
          <w:vertAlign w:val="subscript"/>
        </w:rPr>
        <w:t>2</w:t>
      </w:r>
      <w:r>
        <w:t xml:space="preserve"> ——治理设施进口、出口污染物的浓度，mg/m</w:t>
      </w:r>
      <w:r>
        <w:rPr>
          <w:vertAlign w:val="superscript"/>
        </w:rPr>
        <w:t>3</w:t>
      </w:r>
      <w:r>
        <w:t>；</w:t>
      </w:r>
    </w:p>
    <w:p>
      <w:pPr>
        <w:pStyle w:val="25"/>
      </w:pPr>
      <w:r>
        <w:rPr>
          <w:i/>
          <w:iCs/>
        </w:rPr>
        <w:t>Q</w:t>
      </w:r>
      <w:r>
        <w:rPr>
          <w:i/>
          <w:iCs/>
          <w:vertAlign w:val="subscript"/>
        </w:rPr>
        <w:t>sn1</w:t>
      </w:r>
      <w:r>
        <w:t>、</w:t>
      </w:r>
      <w:r>
        <w:rPr>
          <w:i/>
          <w:iCs/>
        </w:rPr>
        <w:t>Q</w:t>
      </w:r>
      <w:r>
        <w:rPr>
          <w:i/>
          <w:iCs/>
          <w:vertAlign w:val="subscript"/>
        </w:rPr>
        <w:t>sn2</w:t>
      </w:r>
      <w:r>
        <w:t xml:space="preserve"> ——治理设施进口、出口标准状态下干气体流量，m</w:t>
      </w:r>
      <w:r>
        <w:rPr>
          <w:vertAlign w:val="superscript"/>
        </w:rPr>
        <w:t>3</w:t>
      </w:r>
      <w:r>
        <w:t>/h。</w:t>
      </w:r>
    </w:p>
    <w:p>
      <w:pPr>
        <w:pStyle w:val="25"/>
      </w:pPr>
    </w:p>
    <w:p>
      <w:pPr>
        <w:pStyle w:val="22"/>
        <w:spacing w:before="156" w:after="156"/>
        <w:ind w:firstLine="0" w:firstLineChars="0"/>
      </w:pPr>
      <w:bookmarkStart w:id="7" w:name="_Toc14276432"/>
      <w:r>
        <w:rPr>
          <w:rFonts w:hint="eastAsia"/>
        </w:rPr>
        <w:t>4．控制技术要求</w:t>
      </w:r>
      <w:bookmarkEnd w:id="7"/>
    </w:p>
    <w:p>
      <w:pPr>
        <w:pStyle w:val="23"/>
        <w:spacing w:before="156" w:after="156"/>
        <w:ind w:firstLine="0" w:firstLineChars="0"/>
      </w:pPr>
      <w:bookmarkStart w:id="8" w:name="_Toc14276433"/>
      <w:r>
        <w:rPr>
          <w:rFonts w:hint="eastAsia"/>
        </w:rPr>
        <w:t>4.1工业涂装</w:t>
      </w:r>
      <w:bookmarkEnd w:id="8"/>
    </w:p>
    <w:p>
      <w:pPr>
        <w:pStyle w:val="24"/>
        <w:spacing w:before="156" w:after="156"/>
        <w:ind w:firstLine="0" w:firstLineChars="0"/>
      </w:pPr>
      <w:r>
        <w:rPr>
          <w:rFonts w:hint="eastAsia"/>
        </w:rPr>
        <w:t>4.1.1源头控制</w:t>
      </w:r>
    </w:p>
    <w:p>
      <w:pPr>
        <w:pStyle w:val="25"/>
        <w:ind w:firstLine="0" w:firstLineChars="0"/>
      </w:pPr>
      <w:r>
        <w:rPr>
          <w:rFonts w:hint="eastAsia"/>
        </w:rPr>
        <w:t>4.1.1.1 推广使用环境友好型的环保原料，使用低（无）VOCs 含量的涂料（可选涂料类型详见附件1）等作为替代。包括水性涂料、高固体分涂料、粉末涂料、紫外光固化涂料等。涂料中VOCs含量需符合相关规定的要求。</w:t>
      </w:r>
    </w:p>
    <w:p>
      <w:pPr>
        <w:pStyle w:val="25"/>
        <w:ind w:firstLine="0" w:firstLineChars="0"/>
      </w:pPr>
      <w:r>
        <w:rPr>
          <w:rFonts w:hint="eastAsia"/>
        </w:rPr>
        <w:t>4.1.1.2 工业涂装行业重点推进使用紧凑式涂装工艺，推广采用辊涂、静电喷涂、高压无气喷涂、空气辅助无气喷涂、热喷涂等涂装技术，鼓励企业采用自动化、智能化喷涂设备替代人工喷涂，减少使用空气喷涂技术。优化设计喷漆房，合理布置进出气流，降低废气收集和处理负荷。</w:t>
      </w:r>
    </w:p>
    <w:p>
      <w:pPr>
        <w:pStyle w:val="24"/>
        <w:spacing w:before="156" w:after="156"/>
        <w:ind w:firstLine="0" w:firstLineChars="0"/>
      </w:pPr>
      <w:r>
        <w:rPr>
          <w:rFonts w:hint="eastAsia"/>
        </w:rPr>
        <w:t>4.1.2过程控制</w:t>
      </w:r>
    </w:p>
    <w:p>
      <w:pPr>
        <w:pStyle w:val="25"/>
        <w:ind w:firstLine="0" w:firstLineChars="0"/>
      </w:pPr>
      <w:r>
        <w:rPr>
          <w:rFonts w:hint="eastAsia"/>
        </w:rPr>
        <w:t>4.1.2.1 加强涂料和溶剂的管理。含溶剂物料宜通过管道输送或桶泵输送，转移溶剂物料的容器除操作时段外必须密封或加盖。调漆间和暂存含挥发性有机物物料的密闭场所，按负压设计要求设置排气净化系统。</w:t>
      </w:r>
    </w:p>
    <w:p>
      <w:pPr>
        <w:pStyle w:val="25"/>
        <w:ind w:firstLine="0" w:firstLineChars="0"/>
      </w:pPr>
      <w:r>
        <w:rPr>
          <w:rFonts w:hint="eastAsia"/>
        </w:rPr>
        <w:t>4.1.2.2 废涂料桶、废有机溶剂、涂料渣以及其它接触过含有机物的废材料，弃用后须收纳到密闭的容器中，最终按危险废弃物处置要求进行处理。</w:t>
      </w:r>
    </w:p>
    <w:p>
      <w:pPr>
        <w:pStyle w:val="24"/>
        <w:spacing w:before="156" w:after="156"/>
        <w:ind w:firstLine="0" w:firstLineChars="0"/>
      </w:pPr>
      <w:r>
        <w:rPr>
          <w:rFonts w:hint="eastAsia"/>
        </w:rPr>
        <w:t>4.1.3废气收集</w:t>
      </w:r>
    </w:p>
    <w:p>
      <w:pPr>
        <w:pStyle w:val="25"/>
        <w:ind w:firstLine="0" w:firstLineChars="0"/>
      </w:pPr>
      <w:r>
        <w:rPr>
          <w:rFonts w:hint="eastAsia"/>
        </w:rPr>
        <w:t>4.1.3.1 喷涂废气和烘干废气原则上需分类收集。</w:t>
      </w:r>
    </w:p>
    <w:p>
      <w:pPr>
        <w:pStyle w:val="25"/>
        <w:ind w:firstLine="0" w:firstLineChars="0"/>
      </w:pPr>
      <w:r>
        <w:rPr>
          <w:rFonts w:hint="eastAsia"/>
        </w:rPr>
        <w:t>4.1.3.2 采用吸风罩收集，排风罩设计应满足《排风罩的分类及技术条件》GB/T16758要求。</w:t>
      </w:r>
    </w:p>
    <w:p>
      <w:pPr>
        <w:pStyle w:val="25"/>
        <w:ind w:firstLine="0" w:firstLineChars="0"/>
      </w:pPr>
      <w:r>
        <w:rPr>
          <w:rFonts w:hint="eastAsia"/>
        </w:rPr>
        <w:t>4.1.3.3 采用整体密闭的生产线，密闭区域内换风次数原则上不少于20次/小时；采用车间整体密闭换风，车间换风次数原则上不少于8次/小时。所有产生VOCs的密闭空间应保持微负压。</w:t>
      </w:r>
    </w:p>
    <w:p>
      <w:pPr>
        <w:pStyle w:val="25"/>
        <w:ind w:firstLine="0" w:firstLineChars="0"/>
      </w:pPr>
      <w:r>
        <w:rPr>
          <w:rFonts w:hint="eastAsia"/>
        </w:rPr>
        <w:t>4.1.3.4 集中收集废气，提高有机废气的捕集率，减少无组织排放，尽可能使VOCs无组织排放量最小化。</w:t>
      </w:r>
    </w:p>
    <w:p>
      <w:pPr>
        <w:pStyle w:val="25"/>
        <w:ind w:firstLine="0" w:firstLineChars="0"/>
      </w:pPr>
      <w:r>
        <w:rPr>
          <w:rFonts w:hint="eastAsia"/>
        </w:rPr>
        <w:t>4.1.3.5 选用密封式调漆罐调漆，或者在调漆点安装废气收集系统。喷漆房和喷胶车间应密封，保证VOCs废气捕集率不低于95%，底漆、面漆房等喷漆房密闭要求一致；干燥车间应密封，保证VOCs废气捕集率不低于95%。所有产生VOCs的密闭空间应保持微负压。</w:t>
      </w:r>
    </w:p>
    <w:p>
      <w:pPr>
        <w:pStyle w:val="25"/>
        <w:ind w:firstLine="0" w:firstLineChars="0"/>
      </w:pPr>
      <w:r>
        <w:rPr>
          <w:rFonts w:hint="eastAsia"/>
        </w:rPr>
        <w:t>4.1.3.6 废气捕集率评价方法：按照车间空间体积和N次/小时换气次数计算新风量，以有组织排放的实际风量与车间所需新风量的比值作为废气捕集率。</w:t>
      </w:r>
    </w:p>
    <w:p>
      <w:pPr>
        <w:pStyle w:val="25"/>
        <w:rPr>
          <w:rFonts w:ascii="宋体" w:hAnsi="宋体" w:eastAsia="宋体"/>
        </w:rPr>
      </w:pPr>
      <w:r>
        <w:rPr>
          <w:rFonts w:hint="eastAsia"/>
        </w:rPr>
        <w:t>车间所需要新风量=N*</w:t>
      </w:r>
      <w:r>
        <w:rPr>
          <w:rFonts w:hint="eastAsia" w:ascii="宋体" w:hAnsi="宋体" w:eastAsia="宋体"/>
        </w:rPr>
        <w:t>×</w:t>
      </w:r>
      <w:r>
        <w:rPr>
          <w:rFonts w:hint="eastAsia"/>
        </w:rPr>
        <w:t>车间面积</w:t>
      </w:r>
      <w:r>
        <w:rPr>
          <w:rFonts w:hint="eastAsia" w:ascii="宋体" w:hAnsi="宋体" w:eastAsia="宋体"/>
        </w:rPr>
        <w:t>×车间高度</w:t>
      </w:r>
    </w:p>
    <w:p>
      <w:pPr>
        <w:pStyle w:val="25"/>
      </w:pPr>
      <w:r>
        <w:rPr>
          <w:rFonts w:hint="eastAsia" w:ascii="宋体" w:hAnsi="宋体" w:eastAsia="宋体"/>
        </w:rPr>
        <w:t>废气捕集率=</w:t>
      </w:r>
      <m:oMath>
        <m:f>
          <m:fPr>
            <m:ctrlPr>
              <w:rPr>
                <w:rFonts w:ascii="Cambria Math" w:hAnsi="Cambria Math" w:eastAsia="宋体"/>
              </w:rPr>
            </m:ctrlPr>
          </m:fPr>
          <m:num>
            <m:r>
              <m:rPr>
                <m:sty m:val="p"/>
              </m:rPr>
              <w:rPr>
                <w:rFonts w:ascii="Cambria Math" w:hAnsi="Cambria Math" w:eastAsia="宋体"/>
              </w:rPr>
              <m:t>车间实际有组织排气量</m:t>
            </m:r>
            <m:ctrlPr>
              <w:rPr>
                <w:rFonts w:ascii="Cambria Math" w:hAnsi="Cambria Math" w:eastAsia="宋体"/>
              </w:rPr>
            </m:ctrlPr>
          </m:num>
          <m:den>
            <m:r>
              <m:rPr>
                <m:sty m:val="p"/>
              </m:rPr>
              <w:rPr>
                <w:rFonts w:ascii="Cambria Math" w:hAnsi="Cambria Math" w:eastAsia="宋体"/>
              </w:rPr>
              <m:t>车间所需新风量</m:t>
            </m:r>
            <m:ctrlPr>
              <w:rPr>
                <w:rFonts w:ascii="Cambria Math" w:hAnsi="Cambria Math" w:eastAsia="宋体"/>
              </w:rPr>
            </m:ctrlPr>
          </m:den>
        </m:f>
      </m:oMath>
    </w:p>
    <w:p>
      <w:pPr>
        <w:pStyle w:val="25"/>
      </w:pPr>
      <w:r>
        <w:rPr>
          <w:rFonts w:hint="eastAsia"/>
        </w:rPr>
        <w:t>当车间实际有组织排气量大于车间所需新风量时，废气捕集率以100%计。</w:t>
      </w:r>
    </w:p>
    <w:p>
      <w:pPr>
        <w:pStyle w:val="25"/>
      </w:pPr>
      <w:r>
        <w:rPr>
          <w:rFonts w:hint="eastAsia"/>
        </w:rPr>
        <w:t>N*：每小时车间换气次数</w:t>
      </w:r>
    </w:p>
    <w:p>
      <w:pPr>
        <w:pStyle w:val="25"/>
        <w:ind w:firstLine="0" w:firstLineChars="0"/>
      </w:pPr>
      <w:r>
        <w:rPr>
          <w:rFonts w:hint="eastAsia"/>
        </w:rPr>
        <w:t>4.1.3.7喷漆室设计时，除满足安全通风外，任何湿式或干式喷漆室的控制风速须满足《涂装作业安全规程喷漆室安全技术规定》GB14444中表1的要求。</w:t>
      </w:r>
    </w:p>
    <w:p>
      <w:pPr>
        <w:pStyle w:val="25"/>
        <w:ind w:firstLine="0" w:firstLineChars="0"/>
      </w:pPr>
      <w:r>
        <w:rPr>
          <w:rFonts w:hint="eastAsia"/>
        </w:rPr>
        <w:t>4.1.3.8收集系统能与生产设备同步启动，集气方向与污染气流运动方向一致，管路应有明显的颜色区分及走向标识。</w:t>
      </w:r>
    </w:p>
    <w:p>
      <w:pPr>
        <w:pStyle w:val="24"/>
        <w:spacing w:before="156" w:after="156"/>
        <w:ind w:firstLine="0" w:firstLineChars="0"/>
      </w:pPr>
      <w:r>
        <w:rPr>
          <w:rFonts w:hint="eastAsia"/>
        </w:rPr>
        <w:t>4.1.4末端治理</w:t>
      </w:r>
    </w:p>
    <w:p>
      <w:pPr>
        <w:pStyle w:val="24"/>
        <w:spacing w:before="156" w:after="156"/>
        <w:ind w:firstLine="0" w:firstLineChars="0"/>
        <w:outlineLvl w:val="4"/>
      </w:pPr>
      <w:r>
        <w:rPr>
          <w:rFonts w:hint="eastAsia"/>
        </w:rPr>
        <w:t>4.1.4.1 工业涂装制造行业有机废气处理技术选取原则</w:t>
      </w:r>
    </w:p>
    <w:p>
      <w:pPr>
        <w:pStyle w:val="25"/>
      </w:pPr>
      <w:r>
        <w:rPr>
          <w:rFonts w:hint="eastAsia"/>
        </w:rPr>
        <w:t>工业涂装制造行业有机废气处理工艺的选择必须结合废气的规模、污染物种类和浓度、企业经济状况等实际情况选择适合的处理工艺，总体应该遵循资源回收利用、处理达标、效率稳定、经济实用等原则。</w:t>
      </w:r>
    </w:p>
    <w:p>
      <w:pPr>
        <w:pStyle w:val="23"/>
        <w:spacing w:before="156" w:after="156"/>
        <w:ind w:firstLine="0" w:firstLineChars="0"/>
        <w:outlineLvl w:val="4"/>
      </w:pPr>
      <w:bookmarkStart w:id="9" w:name="_Toc14276434"/>
      <w:r>
        <w:rPr>
          <w:rFonts w:hint="eastAsia"/>
        </w:rPr>
        <w:t>4.1.4.2 工业涂装制造行业有机废气处理技术选择基本方法</w:t>
      </w:r>
      <w:bookmarkEnd w:id="9"/>
    </w:p>
    <w:p>
      <w:pPr>
        <w:pStyle w:val="25"/>
      </w:pPr>
      <w:r>
        <w:rPr>
          <w:rFonts w:hint="eastAsia"/>
        </w:rPr>
        <w:t>对企业产生的有机废气的工段进行分析，测量或估算产生气量和浓度，确定排放浓度限值，计算有机废气处理工艺需要达到的处理效率，将可达到该处理效率的处理工艺作为备选。其次，以适宜温度范围作为条件，筛选已得到的有机废气处理工艺。再根据企业的经济状况，筛选建设成本和运行成本、自动化程度都适宜的有机废气工艺。</w:t>
      </w:r>
    </w:p>
    <w:p>
      <w:pPr>
        <w:pStyle w:val="23"/>
        <w:spacing w:before="156" w:after="156"/>
        <w:ind w:firstLine="0" w:firstLineChars="0"/>
        <w:outlineLvl w:val="4"/>
      </w:pPr>
      <w:bookmarkStart w:id="10" w:name="_Toc14276435"/>
      <w:r>
        <w:rPr>
          <w:rFonts w:hint="eastAsia"/>
        </w:rPr>
        <w:t>4.1.4.3 工业涂装制造行业VOCs污染防治技术</w:t>
      </w:r>
      <w:bookmarkEnd w:id="10"/>
    </w:p>
    <w:p>
      <w:pPr>
        <w:pStyle w:val="25"/>
      </w:pPr>
      <w:r>
        <w:rPr>
          <w:rFonts w:hint="eastAsia"/>
        </w:rPr>
        <w:t>1、活性炭（沸石转轮）吸附</w:t>
      </w:r>
    </w:p>
    <w:p>
      <w:pPr>
        <w:pStyle w:val="25"/>
      </w:pPr>
      <w:r>
        <w:rPr>
          <w:rFonts w:hint="eastAsia"/>
        </w:rPr>
        <w:t>吸附浓缩技术是利用各种固体吸附剂，如活性炭（包括活性炭纤维）、分子筛、活性氧化铝和硅胶等，对排放废气中的VOCs进行吸附浓缩，同时达到净化废气的目的。吸附工艺主要分为吸附段和脱附段。</w:t>
      </w:r>
    </w:p>
    <w:p>
      <w:pPr>
        <w:pStyle w:val="25"/>
      </w:pPr>
      <w:r>
        <w:rPr>
          <w:rFonts w:hint="eastAsia"/>
        </w:rPr>
        <w:t>吸附段需要注意的事项主要有：</w:t>
      </w:r>
    </w:p>
    <w:p>
      <w:pPr>
        <w:pStyle w:val="25"/>
      </w:pPr>
      <w:r>
        <w:rPr>
          <w:rFonts w:hint="eastAsia"/>
        </w:rPr>
        <w:t>（1）对中低浓度VOCs（一般&lt;1000mg/m</w:t>
      </w:r>
      <w:r>
        <w:rPr>
          <w:vertAlign w:val="superscript"/>
        </w:rPr>
        <w:t>3</w:t>
      </w:r>
      <w:r>
        <w:rPr>
          <w:rFonts w:hint="eastAsia"/>
        </w:rPr>
        <w:t>）的净化，吸附净化效率能达到30%-50%，由于效率较低，通常与其他处理工艺串联使用。</w:t>
      </w:r>
    </w:p>
    <w:p>
      <w:pPr>
        <w:pStyle w:val="25"/>
      </w:pPr>
      <w:r>
        <w:rPr>
          <w:rFonts w:hint="eastAsia"/>
        </w:rPr>
        <w:t>（2）在不使用深冷、高压的手段下，可以有效回收有价值的有机物组分。</w:t>
      </w:r>
    </w:p>
    <w:p>
      <w:pPr>
        <w:pStyle w:val="25"/>
      </w:pPr>
      <w:r>
        <w:rPr>
          <w:rFonts w:hint="eastAsia"/>
        </w:rPr>
        <w:t>（3）吸附剂应选择：具有大比表面和孔隙率的；具有良好选择性的；吸附能力强，吸附容量大的；易于再生的；机械强度好的；化学稳定性好的；热稳定性好；使用寿命长的。</w:t>
      </w:r>
    </w:p>
    <w:p>
      <w:pPr>
        <w:pStyle w:val="25"/>
      </w:pPr>
      <w:r>
        <w:rPr>
          <w:rFonts w:hint="eastAsia"/>
        </w:rPr>
        <w:t>（4）活性炭装填时应先筛去碎粒与粉尘。然后层层均匀铺开，不得直接倒入，以免使大小颗粒装填不均，最终造成气体偏流，影响使用效果。</w:t>
      </w:r>
    </w:p>
    <w:p>
      <w:pPr>
        <w:pStyle w:val="25"/>
      </w:pPr>
      <w:r>
        <w:rPr>
          <w:rFonts w:hint="eastAsia"/>
        </w:rPr>
        <w:t>（5）更换填料或是运行维护过程中产生的固体废物需要有明确的处理处置管理办法规范管理，将其作为危险废物处理，需交由有经营资质的危险废物收集、利用、处理处置公司处理，应有规范的危险废物转移记录。</w:t>
      </w:r>
    </w:p>
    <w:p>
      <w:pPr>
        <w:pStyle w:val="25"/>
      </w:pPr>
      <w:r>
        <w:rPr>
          <w:rFonts w:hint="eastAsia"/>
        </w:rPr>
        <w:t>（6）固定床吸附器应符合《环境保护产品技术要求工业废气吸附净化装置》（HJ/T386）的规定。吸附层的风速应根据吸附剂的材质、结构和性能共同确定；采用颗粒状活性炭时，宜取0.20~0.60m/s，采用蜂窝状活性炭时，宜取0.70~1.20m/s。对于废气浓度特别低或有特殊要求的场合，风速可适当增加。</w:t>
      </w:r>
    </w:p>
    <w:p>
      <w:pPr>
        <w:pStyle w:val="25"/>
      </w:pPr>
      <w:r>
        <w:rPr>
          <w:rFonts w:hint="eastAsia"/>
        </w:rPr>
        <w:t>（7）吸附装置用于处理易燃、易爆气体时，应符合安全生产及事故防范的相关要求。除控制处理气体的浓度外，在管道系统的适当位置，应安装符合《石油气体管道阻火器》（GB/T13347）规定的阻火装置。接地电阻应小于2Ω。</w:t>
      </w:r>
    </w:p>
    <w:p>
      <w:pPr>
        <w:pStyle w:val="25"/>
      </w:pPr>
      <w:r>
        <w:rPr>
          <w:rFonts w:hint="eastAsia"/>
        </w:rPr>
        <w:t>（8）由于活性炭（沸石）在吸附饱和后处置和再生难度较大，故该工艺在处理有机废气时，不宜单独使用，应与其它处理工艺进行组合。</w:t>
      </w:r>
    </w:p>
    <w:p>
      <w:pPr>
        <w:pStyle w:val="25"/>
      </w:pPr>
      <w:r>
        <w:rPr>
          <w:rFonts w:hint="eastAsia"/>
        </w:rPr>
        <w:t>脱附段需要注意的事项主要有：</w:t>
      </w:r>
    </w:p>
    <w:p>
      <w:pPr>
        <w:pStyle w:val="25"/>
      </w:pPr>
      <w:r>
        <w:rPr>
          <w:rFonts w:hint="eastAsia"/>
        </w:rPr>
        <w:t>（1）脱附操作可采用升温、降压、置换、吹扫和化学转化等脱附方式或几种方式的组合。</w:t>
      </w:r>
    </w:p>
    <w:p>
      <w:pPr>
        <w:pStyle w:val="25"/>
      </w:pPr>
      <w:r>
        <w:rPr>
          <w:rFonts w:hint="eastAsia"/>
        </w:rPr>
        <w:t>（2）脱附气源可采用热空气、热烟气和低压水蒸汽。</w:t>
      </w:r>
    </w:p>
    <w:p>
      <w:pPr>
        <w:pStyle w:val="25"/>
      </w:pPr>
      <w:r>
        <w:rPr>
          <w:rFonts w:hint="eastAsia"/>
        </w:rPr>
        <w:t>（3）当回收脱附产物时，应保证脱附后气体达到设计要求的冷却水平。</w:t>
      </w:r>
    </w:p>
    <w:p>
      <w:pPr>
        <w:pStyle w:val="25"/>
      </w:pPr>
      <w:r>
        <w:rPr>
          <w:rFonts w:hint="eastAsia"/>
        </w:rPr>
        <w:t>（4）有机溶剂的脱附宜选用水蒸汽和热空气，当回收的有机溶剂沸点较低时，冷凝水宜使用低温水；对不溶于水的有机溶剂冷凝后直接回收，对溶于水的有机溶剂应进一步分离回收。</w:t>
      </w:r>
    </w:p>
    <w:p>
      <w:pPr>
        <w:pStyle w:val="25"/>
      </w:pPr>
      <w:r>
        <w:rPr>
          <w:rFonts w:hint="eastAsia"/>
        </w:rPr>
        <w:t>（5）采用活性炭作为吸附剂时，脱附气体的温度宜控制在120℃以下。</w:t>
      </w:r>
    </w:p>
    <w:p>
      <w:pPr>
        <w:pStyle w:val="25"/>
      </w:pPr>
      <w:r>
        <w:rPr>
          <w:rFonts w:hint="eastAsia"/>
        </w:rPr>
        <w:t>（6）活性炭具有一定的脱附次数、使用寿命，活性炭吸附性能下降到一定程度（起始吸附能力的50%），需对活性炭进行更换。失效活性炭需交由有资质的危险废物处理公司处理。</w:t>
      </w:r>
    </w:p>
    <w:p>
      <w:pPr>
        <w:pStyle w:val="25"/>
      </w:pPr>
      <w:r>
        <w:rPr>
          <w:rFonts w:hint="eastAsia"/>
        </w:rPr>
        <w:t>2、生物净化</w:t>
      </w:r>
    </w:p>
    <w:p>
      <w:pPr>
        <w:pStyle w:val="25"/>
      </w:pPr>
      <w:r>
        <w:rPr>
          <w:rFonts w:hint="eastAsia"/>
        </w:rPr>
        <w:t>通过附着在反应器内填料上的微生物的新陈代谢作用将有机废气中的污染物转化为简单的无机物（CO</w:t>
      </w:r>
      <w:r>
        <w:rPr>
          <w:rFonts w:hint="eastAsia"/>
          <w:vertAlign w:val="subscript"/>
        </w:rPr>
        <w:t>2</w:t>
      </w:r>
      <w:r>
        <w:rPr>
          <w:rFonts w:hint="eastAsia"/>
        </w:rPr>
        <w:t>、H</w:t>
      </w:r>
      <w:r>
        <w:rPr>
          <w:rFonts w:hint="eastAsia"/>
          <w:vertAlign w:val="subscript"/>
        </w:rPr>
        <w:t>2</w:t>
      </w:r>
      <w:r>
        <w:rPr>
          <w:rFonts w:hint="eastAsia"/>
        </w:rPr>
        <w:t>O和SO</w:t>
      </w:r>
      <w:r>
        <w:rPr>
          <w:rFonts w:hint="eastAsia"/>
          <w:vertAlign w:val="subscript"/>
        </w:rPr>
        <w:t>4</w:t>
      </w:r>
      <w:r>
        <w:rPr>
          <w:rFonts w:hint="eastAsia"/>
          <w:vertAlign w:val="superscript"/>
        </w:rPr>
        <w:t>2－</w:t>
      </w:r>
      <w:r>
        <w:rPr>
          <w:rFonts w:hint="eastAsia"/>
        </w:rPr>
        <w:t>等）和微生物。</w:t>
      </w:r>
    </w:p>
    <w:p>
      <w:pPr>
        <w:pStyle w:val="25"/>
      </w:pPr>
      <w:r>
        <w:rPr>
          <w:rFonts w:hint="eastAsia"/>
        </w:rPr>
        <w:t>使用生物净化时，应注意：</w:t>
      </w:r>
    </w:p>
    <w:p>
      <w:pPr>
        <w:pStyle w:val="25"/>
      </w:pPr>
      <w:r>
        <w:rPr>
          <w:rFonts w:hint="eastAsia"/>
        </w:rPr>
        <w:t>（1）生物法适合处理“高水溶性+易生物降解”的VOCs，去除效率能达到70~90%，对其余类型的VOCs处理效果较差，生物法处理效果从大到小依次为醇类、酯类、苯系物&gt;醛、酮、卤代烃&gt;小分子烯烃、烷烃。</w:t>
      </w:r>
    </w:p>
    <w:p>
      <w:pPr>
        <w:pStyle w:val="25"/>
      </w:pPr>
      <w:r>
        <w:rPr>
          <w:rFonts w:hint="eastAsia"/>
        </w:rPr>
        <w:t>（2）主要应用于中低浓度（&lt;1000mg/m</w:t>
      </w:r>
      <w:r>
        <w:rPr>
          <w:vertAlign w:val="superscript"/>
        </w:rPr>
        <w:t>3</w:t>
      </w:r>
      <w:r>
        <w:rPr>
          <w:rFonts w:hint="eastAsia"/>
        </w:rPr>
        <w:t>）有机废气的处理；风量较大的情况下，其处理的浓度更低（&lt;200mg/m</w:t>
      </w:r>
      <w:r>
        <w:rPr>
          <w:vertAlign w:val="superscript"/>
        </w:rPr>
        <w:t>3</w:t>
      </w:r>
      <w:r>
        <w:rPr>
          <w:rFonts w:hint="eastAsia"/>
        </w:rPr>
        <w:t>）。</w:t>
      </w:r>
    </w:p>
    <w:p>
      <w:pPr>
        <w:pStyle w:val="25"/>
      </w:pPr>
      <w:r>
        <w:rPr>
          <w:rFonts w:hint="eastAsia"/>
        </w:rPr>
        <w:t>（3）微生物的筛选和挂膜的时间较长，应尽量延长废气在装置中的反应停留时间。</w:t>
      </w:r>
    </w:p>
    <w:p>
      <w:pPr>
        <w:pStyle w:val="25"/>
      </w:pPr>
      <w:r>
        <w:rPr>
          <w:rFonts w:hint="eastAsia"/>
        </w:rPr>
        <w:t>（4）要通过有效预处理和合理管理，尽量降低填料堵塞带来的影响。</w:t>
      </w:r>
    </w:p>
    <w:p>
      <w:pPr>
        <w:pStyle w:val="25"/>
      </w:pPr>
      <w:r>
        <w:rPr>
          <w:rFonts w:hint="eastAsia"/>
        </w:rPr>
        <w:t>（5）更换填料或是运行维护过程中产生的固体废物或废水需要有明确的处理处置管理办法规范管理，若作为危险废物处理，需交由有资质的危险废物处理公司处理，应有规范的危险废物转移记录。</w:t>
      </w:r>
    </w:p>
    <w:p>
      <w:pPr>
        <w:pStyle w:val="25"/>
      </w:pPr>
      <w:r>
        <w:rPr>
          <w:rFonts w:hint="eastAsia"/>
        </w:rPr>
        <w:t>3、蓄热式燃烧（RTO）</w:t>
      </w:r>
    </w:p>
    <w:p>
      <w:pPr>
        <w:pStyle w:val="25"/>
      </w:pPr>
      <w:r>
        <w:rPr>
          <w:rFonts w:hint="eastAsia"/>
        </w:rPr>
        <w:t>废气中的VOCs在800℃左右氧化分解成CO</w:t>
      </w:r>
      <w:r>
        <w:rPr>
          <w:rFonts w:hint="eastAsia"/>
          <w:vertAlign w:val="subscript"/>
        </w:rPr>
        <w:t>2</w:t>
      </w:r>
      <w:r>
        <w:rPr>
          <w:rFonts w:hint="eastAsia"/>
        </w:rPr>
        <w:t>和H</w:t>
      </w:r>
      <w:r>
        <w:rPr>
          <w:rFonts w:hint="eastAsia"/>
          <w:vertAlign w:val="subscript"/>
        </w:rPr>
        <w:t>2</w:t>
      </w:r>
      <w:r>
        <w:rPr>
          <w:rFonts w:hint="eastAsia"/>
        </w:rPr>
        <w:t>O。处理系统中加温和氧化分解产生的热能利用具有高热容量的陶瓷蓄热体作为蓄热系统，实现换热效率达到90%以上的节能效果。</w:t>
      </w:r>
    </w:p>
    <w:p>
      <w:pPr>
        <w:pStyle w:val="25"/>
      </w:pPr>
      <w:r>
        <w:rPr>
          <w:rFonts w:hint="eastAsia"/>
        </w:rPr>
        <w:t>使用蓄热式燃烧时，应注意：</w:t>
      </w:r>
    </w:p>
    <w:p>
      <w:pPr>
        <w:pStyle w:val="25"/>
      </w:pPr>
      <w:r>
        <w:rPr>
          <w:rFonts w:hint="eastAsia"/>
        </w:rPr>
        <w:t>（1）处理净化效率高，能达到90%以上，连续运行稳定，技术成熟且安全可靠、操作维护简单，使用寿命长。</w:t>
      </w:r>
    </w:p>
    <w:p>
      <w:pPr>
        <w:pStyle w:val="25"/>
      </w:pPr>
      <w:r>
        <w:rPr>
          <w:rFonts w:hint="eastAsia"/>
        </w:rPr>
        <w:t>（2）一次性投资成本高，运行成本较高；</w:t>
      </w:r>
    </w:p>
    <w:p>
      <w:pPr>
        <w:pStyle w:val="25"/>
      </w:pPr>
      <w:r>
        <w:rPr>
          <w:rFonts w:hint="eastAsia"/>
        </w:rPr>
        <w:t>（3）严格控制进口有机物的浓度，使其入口浓度必须远低于爆炸下限，控制在一个安全的水平。</w:t>
      </w:r>
    </w:p>
    <w:p>
      <w:pPr>
        <w:pStyle w:val="25"/>
      </w:pPr>
      <w:r>
        <w:rPr>
          <w:rFonts w:hint="eastAsia"/>
        </w:rPr>
        <w:t>（4）不适宜处理风量小于8000m</w:t>
      </w:r>
      <w:r>
        <w:rPr>
          <w:rFonts w:hint="eastAsia"/>
          <w:vertAlign w:val="superscript"/>
        </w:rPr>
        <w:t>3</w:t>
      </w:r>
      <w:r>
        <w:rPr>
          <w:rFonts w:hint="eastAsia"/>
        </w:rPr>
        <w:t>/h的废气；对含有机硅成分较多的废气容易造成蓄热体堵塞，更换蓄热材料费用较高。</w:t>
      </w:r>
    </w:p>
    <w:p>
      <w:pPr>
        <w:pStyle w:val="25"/>
      </w:pPr>
      <w:r>
        <w:rPr>
          <w:rFonts w:hint="eastAsia"/>
        </w:rPr>
        <w:t>4、蓄热催化燃烧（RCO）</w:t>
      </w:r>
    </w:p>
    <w:p>
      <w:pPr>
        <w:pStyle w:val="25"/>
      </w:pPr>
      <w:r>
        <w:rPr>
          <w:rFonts w:hint="eastAsia"/>
        </w:rPr>
        <w:t>利用结合在高热容量陶瓷蓄热体上的催化剂，使有机气体在300~450℃的较低温度下，氧化为水和二氧化碳。同时处理系统加热和氧化产生的热量被蓄热体储存并用以加热待处理废气，以提高换热效率。</w:t>
      </w:r>
    </w:p>
    <w:p>
      <w:pPr>
        <w:pStyle w:val="25"/>
      </w:pPr>
      <w:r>
        <w:rPr>
          <w:rFonts w:hint="eastAsia"/>
        </w:rPr>
        <w:t>蓄热催化燃烧等优点：处理净化效率较高，能达到90%以上，比蓄热式燃烧节约25～40％运行费用，其热回收效率可达90%以上；很少产生NO</w:t>
      </w:r>
      <w:r>
        <w:rPr>
          <w:rFonts w:hint="eastAsia"/>
          <w:vertAlign w:val="subscript"/>
        </w:rPr>
        <w:t>X</w:t>
      </w:r>
      <w:r>
        <w:rPr>
          <w:rFonts w:hint="eastAsia"/>
        </w:rPr>
        <w:t>和SO</w:t>
      </w:r>
      <w:r>
        <w:rPr>
          <w:rFonts w:hint="eastAsia"/>
          <w:vertAlign w:val="subscript"/>
        </w:rPr>
        <w:t>X</w:t>
      </w:r>
      <w:r>
        <w:rPr>
          <w:rFonts w:hint="eastAsia"/>
        </w:rPr>
        <w:t>，不受水汽含量影响。</w:t>
      </w:r>
    </w:p>
    <w:p>
      <w:pPr>
        <w:pStyle w:val="25"/>
      </w:pPr>
      <w:r>
        <w:rPr>
          <w:rFonts w:hint="eastAsia"/>
        </w:rPr>
        <w:t>但是使用蓄热催化燃烧时，应注意：</w:t>
      </w:r>
    </w:p>
    <w:p>
      <w:pPr>
        <w:pStyle w:val="25"/>
      </w:pPr>
      <w:r>
        <w:rPr>
          <w:rFonts w:hint="eastAsia"/>
        </w:rPr>
        <w:t>（1）催化剂的选择需要与处理对象相吻合，处理成分复杂的废气时效果不理想；</w:t>
      </w:r>
    </w:p>
    <w:p>
      <w:pPr>
        <w:pStyle w:val="25"/>
      </w:pPr>
      <w:r>
        <w:rPr>
          <w:rFonts w:hint="eastAsia"/>
        </w:rPr>
        <w:t>（2）废气浓度过高时会导致催化剂超温；</w:t>
      </w:r>
    </w:p>
    <w:p>
      <w:pPr>
        <w:pStyle w:val="25"/>
      </w:pPr>
      <w:r>
        <w:rPr>
          <w:rFonts w:hint="eastAsia"/>
        </w:rPr>
        <w:t>（3）不能处理温度高于450℃的废气。</w:t>
      </w:r>
    </w:p>
    <w:p>
      <w:pPr>
        <w:pStyle w:val="25"/>
      </w:pPr>
      <w:r>
        <w:rPr>
          <w:rFonts w:hint="eastAsia"/>
        </w:rPr>
        <w:t>5、直燃式焚烧（TNV）</w:t>
      </w:r>
    </w:p>
    <w:p>
      <w:pPr>
        <w:pStyle w:val="25"/>
      </w:pPr>
      <w:r>
        <w:rPr>
          <w:rFonts w:hint="eastAsia"/>
        </w:rPr>
        <w:t>将干燥后高浓度的有机废气通过引风机直接送入废气焚烧炉，有机废气首先进入换热器进行预热，然后进入炉膛，在燃烧机的火焰高温（680~760℃）作用下，使VOCs分解成二氧化碳和水。</w:t>
      </w:r>
    </w:p>
    <w:p>
      <w:pPr>
        <w:pStyle w:val="25"/>
      </w:pPr>
      <w:r>
        <w:rPr>
          <w:rFonts w:hint="eastAsia"/>
        </w:rPr>
        <w:t>优点：处理效率高，可采用PLC自动化控制，余热利用率高，适用于含有能够引起催化剂中毒的化合物废气的处理。</w:t>
      </w:r>
    </w:p>
    <w:p>
      <w:pPr>
        <w:pStyle w:val="25"/>
      </w:pPr>
      <w:r>
        <w:rPr>
          <w:rFonts w:hint="eastAsia"/>
        </w:rPr>
        <w:t>缺点：能耗相对较高，通常要求废气中有机物的热值高。</w:t>
      </w:r>
    </w:p>
    <w:p>
      <w:pPr>
        <w:pStyle w:val="25"/>
      </w:pPr>
      <w:r>
        <w:rPr>
          <w:rFonts w:hint="eastAsia"/>
        </w:rPr>
        <w:t>6、低温等离子体技术、光催化氧化技术</w:t>
      </w:r>
    </w:p>
    <w:p>
      <w:pPr>
        <w:pStyle w:val="25"/>
      </w:pPr>
      <w:r>
        <w:rPr>
          <w:rFonts w:hint="eastAsia"/>
        </w:rPr>
        <w:t>（1）治理设施的风量按照最大废气排放量的120%进行设计，低温等离子体技术或光解催化技术单独使用时，仅适用于处理低浓度有机废气或恶臭气体；治理效率要求更高时，应采用多种技术的组合工艺。对于含油雾、漆雾颗粒物的废气，应配置高效过滤等适宜的预处理工艺。</w:t>
      </w:r>
    </w:p>
    <w:p>
      <w:pPr>
        <w:pStyle w:val="25"/>
      </w:pPr>
      <w:r>
        <w:rPr>
          <w:rFonts w:hint="eastAsia"/>
        </w:rPr>
        <w:t>（2）应首先明确废气组分中最大可能的化学键键能。使用低温等离子体技术的，需给出处理装置设计的电压、频率、电场强度、稳定电离等参数，同时出具所用电气元件的出厂防火、防爆合格证；使用光催化氧化技术的，需给出所用催化剂种类、催化剂负载量等参数，并出具所用电气元件的防爆合格证与灯管发射185nm光强、灯光使用寿命情况检验证书。</w:t>
      </w:r>
    </w:p>
    <w:p>
      <w:pPr>
        <w:pStyle w:val="25"/>
      </w:pPr>
      <w:r>
        <w:rPr>
          <w:rFonts w:hint="eastAsia"/>
        </w:rPr>
        <w:t>（3）应尽量延长废气在装置中的反应停留时间（</w:t>
      </w:r>
      <w:r>
        <w:rPr>
          <w:rFonts w:hint="eastAsia" w:asciiTheme="minorEastAsia" w:hAnsiTheme="minorEastAsia"/>
        </w:rPr>
        <w:t>不小于3S</w:t>
      </w:r>
      <w:r>
        <w:rPr>
          <w:rFonts w:asciiTheme="minorEastAsia" w:hAnsiTheme="minorEastAsia"/>
        </w:rPr>
        <w:t>）</w:t>
      </w:r>
      <w:r>
        <w:rPr>
          <w:rFonts w:hint="eastAsia"/>
        </w:rPr>
        <w:t>，定期清洗灯具，并配备臭氧催化分解单元，防止臭氧二次污染。</w:t>
      </w:r>
    </w:p>
    <w:p>
      <w:pPr>
        <w:pStyle w:val="25"/>
      </w:pPr>
      <w:r>
        <w:rPr>
          <w:rFonts w:hint="eastAsia"/>
        </w:rPr>
        <w:t>（4）紫外灯光具有一定的使用寿命，性能下降到一定程度（起始185nm光强能力50%），需对紫外灯光进行更换。失效紫外灯需交由有资质的危险废物处理公司处理。</w:t>
      </w:r>
    </w:p>
    <w:p>
      <w:pPr>
        <w:pStyle w:val="24"/>
        <w:spacing w:before="156" w:after="156"/>
        <w:ind w:firstLine="0" w:firstLineChars="0"/>
        <w:outlineLvl w:val="4"/>
      </w:pPr>
      <w:r>
        <w:t>4.1.4.</w:t>
      </w:r>
      <w:r>
        <w:rPr>
          <w:rFonts w:hint="eastAsia"/>
        </w:rPr>
        <w:t>4最佳可行技术</w:t>
      </w:r>
    </w:p>
    <w:p>
      <w:pPr>
        <w:pStyle w:val="25"/>
      </w:pPr>
      <w:r>
        <w:rPr>
          <w:rFonts w:hint="eastAsia"/>
        </w:rPr>
        <w:t>1、工业涂装制造行业废气预处理技术</w:t>
      </w:r>
    </w:p>
    <w:p>
      <w:pPr>
        <w:pStyle w:val="25"/>
      </w:pPr>
      <w:r>
        <w:rPr>
          <w:rFonts w:hint="eastAsia"/>
        </w:rPr>
        <w:t>中山市工业涂装制造企业大部分都采用喷涂工艺，喷涂过程产生含气溶胶（漆雾）的有机废气，废气在进入治理设施前若不经预处理，所含树脂将固化形成固体颗粒物，影响治理设施的寿命及治理效率。因此，除吸收法外，其它治理技术需配套有效的预处理设施去除漆雾。</w:t>
      </w:r>
    </w:p>
    <w:p>
      <w:pPr>
        <w:pStyle w:val="25"/>
      </w:pPr>
      <w:r>
        <w:rPr>
          <w:rFonts w:hint="eastAsia"/>
        </w:rPr>
        <w:t>喷漆室的除漆雾（尘埃）效果应达到：</w:t>
      </w:r>
    </w:p>
    <w:p>
      <w:pPr>
        <w:pStyle w:val="25"/>
      </w:pPr>
      <w:r>
        <w:rPr>
          <w:rFonts w:hint="eastAsia"/>
        </w:rPr>
        <w:t>①去效率：95%以上；</w:t>
      </w:r>
    </w:p>
    <w:p>
      <w:pPr>
        <w:pStyle w:val="25"/>
      </w:pPr>
      <w:r>
        <w:rPr>
          <w:rFonts w:hint="eastAsia"/>
        </w:rPr>
        <w:t>②颗粒物排出量：&lt;1mg/m</w:t>
      </w:r>
      <w:r>
        <w:rPr>
          <w:rFonts w:hint="eastAsia"/>
          <w:vertAlign w:val="superscript"/>
        </w:rPr>
        <w:t>3</w:t>
      </w:r>
      <w:r>
        <w:rPr>
          <w:rFonts w:hint="eastAsia"/>
        </w:rPr>
        <w:t>，若后处理设施有相关标准要求，按标准要求；</w:t>
      </w:r>
    </w:p>
    <w:p>
      <w:pPr>
        <w:pStyle w:val="25"/>
      </w:pPr>
      <w:r>
        <w:rPr>
          <w:rFonts w:hint="eastAsia"/>
        </w:rPr>
        <w:t>③目测见不到排风管的排气色（即排风管出口风帽不被所喷涂料着色）；</w:t>
      </w:r>
    </w:p>
    <w:p>
      <w:pPr>
        <w:pStyle w:val="25"/>
      </w:pPr>
      <w:r>
        <w:rPr>
          <w:rFonts w:hint="eastAsia"/>
        </w:rPr>
        <w:t>废气预处理设施包括干式和湿式漆雾捕集装置。</w:t>
      </w:r>
    </w:p>
    <w:p>
      <w:pPr>
        <w:pStyle w:val="25"/>
      </w:pPr>
      <w:r>
        <w:rPr>
          <w:rFonts w:hint="eastAsia"/>
        </w:rPr>
        <w:t>废气预处理过程中产生的废水需处理后达标排放，漆渣需统一收集后交由有经营资质的危险废物处理单位无害化处理。</w:t>
      </w:r>
    </w:p>
    <w:p>
      <w:pPr>
        <w:pStyle w:val="25"/>
      </w:pPr>
      <w:r>
        <w:rPr>
          <w:rFonts w:hint="eastAsia"/>
        </w:rPr>
        <w:t>2、工业涂装制造行业有机废气治理可行技术</w:t>
      </w:r>
    </w:p>
    <w:p>
      <w:pPr>
        <w:spacing w:line="360" w:lineRule="auto"/>
        <w:ind w:firstLine="480" w:firstLineChars="200"/>
        <w:rPr>
          <w:rFonts w:ascii="Times New Roman" w:hAnsi="Times New Roman"/>
          <w:sz w:val="24"/>
        </w:rPr>
      </w:pPr>
      <w:r>
        <w:rPr>
          <w:rFonts w:hint="eastAsia" w:ascii="Times New Roman" w:hAnsi="Times New Roman"/>
          <w:sz w:val="24"/>
        </w:rPr>
        <w:t>有机废气治理可行技术及其适用范围见表3。</w:t>
      </w:r>
    </w:p>
    <w:p>
      <w:pPr>
        <w:spacing w:line="360" w:lineRule="auto"/>
        <w:ind w:firstLine="480" w:firstLineChars="200"/>
        <w:rPr>
          <w:rFonts w:ascii="Times New Roman" w:hAnsi="Times New Roman"/>
          <w:sz w:val="24"/>
        </w:rPr>
      </w:pPr>
      <w:r>
        <w:rPr>
          <w:rFonts w:hint="eastAsia" w:ascii="Times New Roman" w:hAnsi="Times New Roman"/>
          <w:sz w:val="24"/>
        </w:rPr>
        <w:t>根据行业废气特性，采用组合工艺处理涂装类行业有机废气更为适宜。</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sz w:val="24"/>
        </w:rPr>
        <w:t>几种组合治理技术的各项经济和技术指标见表4，供企业选取时参考之用</w:t>
      </w:r>
      <w:r>
        <w:rPr>
          <w:rFonts w:hint="eastAsia" w:ascii="Times New Roman" w:hAnsi="Times New Roman"/>
          <w:color w:val="000000" w:themeColor="text1"/>
          <w:sz w:val="24"/>
          <w14:textFill>
            <w14:solidFill>
              <w14:schemeClr w14:val="tx1"/>
            </w14:solidFill>
          </w14:textFill>
        </w:rPr>
        <w:t>。</w:t>
      </w:r>
    </w:p>
    <w:p>
      <w:pPr>
        <w:spacing w:line="360" w:lineRule="auto"/>
        <w:ind w:firstLine="480" w:firstLineChars="200"/>
        <w:rPr>
          <w:rFonts w:ascii="Times New Roman" w:hAnsi="Times New Roman"/>
          <w:color w:val="000000" w:themeColor="text1"/>
          <w:sz w:val="24"/>
          <w14:textFill>
            <w14:solidFill>
              <w14:schemeClr w14:val="tx1"/>
            </w14:solidFill>
          </w14:textFill>
        </w:rPr>
      </w:pPr>
    </w:p>
    <w:p>
      <w:pPr>
        <w:pStyle w:val="26"/>
      </w:pPr>
      <w:r>
        <w:rPr>
          <w:rFonts w:hint="eastAsia"/>
        </w:rPr>
        <w:t>表3有机废气处理技术适用范围表</w:t>
      </w:r>
    </w:p>
    <w:tbl>
      <w:tblPr>
        <w:tblStyle w:val="14"/>
        <w:tblW w:w="8363" w:type="dxa"/>
        <w:tblInd w:w="0" w:type="dxa"/>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5"/>
        <w:gridCol w:w="1903"/>
        <w:gridCol w:w="1458"/>
        <w:gridCol w:w="2907"/>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blHeader/>
        </w:trPr>
        <w:tc>
          <w:tcPr>
            <w:tcW w:w="2095" w:type="dxa"/>
            <w:tcBorders>
              <w:top w:val="single" w:color="4F81BD" w:themeColor="accent1" w:sz="8" w:space="0"/>
              <w:left w:val="nil"/>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b/>
                <w:bCs w:val="0"/>
                <w:color w:val="376092" w:themeColor="accent1" w:themeShade="BF"/>
              </w:rPr>
              <w:t>有机物浓度</w:t>
            </w:r>
          </w:p>
          <w:p>
            <w:pPr>
              <w:pStyle w:val="27"/>
              <w:spacing w:before="0" w:after="0"/>
              <w:rPr>
                <w:b/>
                <w:bCs w:val="0"/>
                <w:color w:val="376092" w:themeColor="accent1" w:themeShade="BF"/>
              </w:rPr>
            </w:pPr>
            <w:r>
              <w:rPr>
                <w:b/>
                <w:bCs w:val="0"/>
                <w:color w:val="376092" w:themeColor="accent1" w:themeShade="BF"/>
              </w:rPr>
              <w:t>（mg/Nm</w:t>
            </w:r>
            <w:r>
              <w:rPr>
                <w:b/>
                <w:bCs w:val="0"/>
                <w:color w:val="376092" w:themeColor="accent1" w:themeShade="BF"/>
                <w:vertAlign w:val="superscript"/>
              </w:rPr>
              <w:t>3</w:t>
            </w:r>
            <w:r>
              <w:rPr>
                <w:b/>
                <w:bCs w:val="0"/>
                <w:color w:val="376092" w:themeColor="accent1" w:themeShade="BF"/>
              </w:rPr>
              <w:t>)</w:t>
            </w:r>
          </w:p>
        </w:tc>
        <w:tc>
          <w:tcPr>
            <w:tcW w:w="1903"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b/>
                <w:bCs w:val="0"/>
                <w:color w:val="376092" w:themeColor="accent1" w:themeShade="BF"/>
              </w:rPr>
              <w:t>处理规模</w:t>
            </w:r>
            <w:r>
              <w:rPr>
                <w:rFonts w:hint="eastAsia"/>
                <w:b/>
                <w:bCs w:val="0"/>
                <w:color w:val="376092" w:themeColor="accent1" w:themeShade="BF"/>
              </w:rPr>
              <w:t>#</w:t>
            </w:r>
          </w:p>
          <w:p>
            <w:pPr>
              <w:pStyle w:val="27"/>
              <w:spacing w:before="0" w:after="0"/>
              <w:rPr>
                <w:b/>
                <w:bCs w:val="0"/>
                <w:color w:val="auto"/>
              </w:rPr>
            </w:pPr>
            <w:r>
              <w:rPr>
                <w:b/>
                <w:bCs w:val="0"/>
                <w:color w:val="376092" w:themeColor="accent1" w:themeShade="BF"/>
              </w:rPr>
              <w:t>（Nm</w:t>
            </w:r>
            <w:r>
              <w:rPr>
                <w:b/>
                <w:bCs w:val="0"/>
                <w:color w:val="376092" w:themeColor="accent1" w:themeShade="BF"/>
                <w:vertAlign w:val="superscript"/>
              </w:rPr>
              <w:t>3</w:t>
            </w:r>
            <w:r>
              <w:rPr>
                <w:b/>
                <w:bCs w:val="0"/>
                <w:color w:val="376092" w:themeColor="accent1" w:themeShade="BF"/>
              </w:rPr>
              <w:t>/h)</w:t>
            </w:r>
          </w:p>
        </w:tc>
        <w:tc>
          <w:tcPr>
            <w:tcW w:w="1458"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auto"/>
              </w:rPr>
            </w:pPr>
            <w:r>
              <w:rPr>
                <w:b/>
                <w:bCs w:val="0"/>
                <w:color w:val="376092" w:themeColor="accent1" w:themeShade="BF"/>
              </w:rPr>
              <w:t>废气温度</w:t>
            </w:r>
          </w:p>
          <w:p>
            <w:pPr>
              <w:pStyle w:val="27"/>
              <w:spacing w:before="0" w:after="0"/>
              <w:rPr>
                <w:b/>
                <w:bCs w:val="0"/>
                <w:color w:val="auto"/>
              </w:rPr>
            </w:pPr>
            <w:r>
              <w:rPr>
                <w:b/>
                <w:bCs w:val="0"/>
                <w:color w:val="376092" w:themeColor="accent1" w:themeShade="BF"/>
              </w:rPr>
              <w:t>(</w:t>
            </w:r>
            <w:r>
              <w:rPr>
                <w:rFonts w:hint="eastAsia" w:ascii="宋体" w:hAnsi="宋体" w:eastAsia="宋体" w:cs="宋体"/>
                <w:b/>
                <w:bCs w:val="0"/>
                <w:color w:val="376092" w:themeColor="accent1" w:themeShade="BF"/>
              </w:rPr>
              <w:t>℃</w:t>
            </w:r>
            <w:r>
              <w:rPr>
                <w:b/>
                <w:bCs w:val="0"/>
                <w:color w:val="376092" w:themeColor="accent1" w:themeShade="BF"/>
              </w:rPr>
              <w:t>)</w:t>
            </w:r>
          </w:p>
        </w:tc>
        <w:tc>
          <w:tcPr>
            <w:tcW w:w="2907"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auto"/>
              </w:rPr>
            </w:pPr>
            <w:r>
              <w:rPr>
                <w:b/>
                <w:bCs w:val="0"/>
                <w:color w:val="376092" w:themeColor="accent1" w:themeShade="BF"/>
              </w:rPr>
              <w:t>适用处理技术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restart"/>
            <w:tcBorders>
              <w:left w:val="nil"/>
              <w:right w:val="nil"/>
            </w:tcBorders>
            <w:shd w:val="clear" w:color="auto" w:fill="D3DFEE" w:themeFill="accent1" w:themeFillTint="3F"/>
          </w:tcPr>
          <w:p>
            <w:pPr>
              <w:pStyle w:val="27"/>
              <w:rPr>
                <w:b/>
                <w:bCs w:val="0"/>
                <w:color w:val="376092" w:themeColor="accent1" w:themeShade="BF"/>
              </w:rPr>
            </w:pPr>
            <w:r>
              <w:rPr>
                <w:b/>
                <w:bCs w:val="0"/>
                <w:color w:val="376092" w:themeColor="accent1" w:themeShade="BF"/>
              </w:rPr>
              <w:t>0～300</w:t>
            </w:r>
          </w:p>
        </w:tc>
        <w:tc>
          <w:tcPr>
            <w:tcW w:w="1903"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&lt;6×10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&lt;45</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吸附回收技术，生物氧化技术，低温等离子体技术，光解催化技术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Pr>
          <w:p>
            <w:pPr>
              <w:pStyle w:val="27"/>
              <w:rPr>
                <w:b/>
                <w:bCs w:val="0"/>
                <w:color w:val="auto"/>
              </w:rPr>
            </w:pPr>
          </w:p>
        </w:tc>
        <w:tc>
          <w:tcPr>
            <w:tcW w:w="1903" w:type="dxa"/>
          </w:tcPr>
          <w:p>
            <w:pPr>
              <w:pStyle w:val="27"/>
              <w:rPr>
                <w:color w:val="auto"/>
              </w:rPr>
            </w:pPr>
            <w:r>
              <w:rPr>
                <w:color w:val="376092" w:themeColor="accent1" w:themeShade="BF"/>
              </w:rPr>
              <w:t>&lt;2×10</w:t>
            </w:r>
            <w:r>
              <w:rPr>
                <w:color w:val="376092" w:themeColor="accent1" w:themeShade="BF"/>
                <w:vertAlign w:val="superscript"/>
              </w:rPr>
              <w:t>4</w:t>
            </w:r>
          </w:p>
        </w:tc>
        <w:tc>
          <w:tcPr>
            <w:tcW w:w="1458" w:type="dxa"/>
          </w:tcPr>
          <w:p>
            <w:pPr>
              <w:pStyle w:val="27"/>
              <w:rPr>
                <w:color w:val="auto"/>
              </w:rPr>
            </w:pPr>
            <w:r>
              <w:rPr>
                <w:color w:val="376092" w:themeColor="accent1" w:themeShade="BF"/>
              </w:rPr>
              <w:t>&lt;60</w:t>
            </w:r>
          </w:p>
        </w:tc>
        <w:tc>
          <w:tcPr>
            <w:tcW w:w="2907" w:type="dxa"/>
          </w:tcPr>
          <w:p>
            <w:pPr>
              <w:pStyle w:val="27"/>
              <w:rPr>
                <w:color w:val="auto"/>
              </w:rPr>
            </w:pPr>
            <w:r>
              <w:rPr>
                <w:color w:val="376092" w:themeColor="accent1" w:themeShade="BF"/>
              </w:rPr>
              <w:t>低温等离子体技术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Borders>
              <w:left w:val="nil"/>
              <w:right w:val="nil"/>
            </w:tcBorders>
            <w:shd w:val="clear" w:color="auto" w:fill="D3DFEE" w:themeFill="accent1" w:themeFillTint="3F"/>
          </w:tcPr>
          <w:p>
            <w:pPr>
              <w:pStyle w:val="27"/>
              <w:rPr>
                <w:b/>
                <w:bCs w:val="0"/>
                <w:color w:val="auto"/>
              </w:rPr>
            </w:pPr>
          </w:p>
        </w:tc>
        <w:tc>
          <w:tcPr>
            <w:tcW w:w="1903" w:type="dxa"/>
            <w:tcBorders>
              <w:right w:val="nil"/>
            </w:tcBorders>
            <w:shd w:val="clear" w:color="auto" w:fill="D3DFEE" w:themeFill="accent1" w:themeFillTint="3F"/>
          </w:tcPr>
          <w:p>
            <w:pPr>
              <w:pStyle w:val="27"/>
              <w:rPr>
                <w:color w:val="auto"/>
              </w:rPr>
            </w:pPr>
            <w:r>
              <w:rPr>
                <w:color w:val="376092" w:themeColor="accent1" w:themeShade="BF"/>
              </w:rPr>
              <w:t>&lt;8×10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auto"/>
              </w:rPr>
            </w:pPr>
            <w:r>
              <w:rPr>
                <w:color w:val="376092" w:themeColor="accent1" w:themeShade="BF"/>
              </w:rPr>
              <w:t>&lt;90</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光解催化技术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Pr>
          <w:p>
            <w:pPr>
              <w:pStyle w:val="27"/>
              <w:rPr>
                <w:b/>
                <w:bCs w:val="0"/>
                <w:color w:val="auto"/>
              </w:rPr>
            </w:pPr>
          </w:p>
        </w:tc>
        <w:tc>
          <w:tcPr>
            <w:tcW w:w="1903" w:type="dxa"/>
          </w:tcPr>
          <w:p>
            <w:pPr>
              <w:pStyle w:val="27"/>
              <w:rPr>
                <w:color w:val="auto"/>
              </w:rPr>
            </w:pPr>
            <w:r>
              <w:rPr>
                <w:color w:val="376092" w:themeColor="accent1" w:themeShade="BF"/>
              </w:rPr>
              <w:t>&lt;1×10</w:t>
            </w:r>
            <w:r>
              <w:rPr>
                <w:color w:val="376092" w:themeColor="accent1" w:themeShade="BF"/>
                <w:vertAlign w:val="superscript"/>
              </w:rPr>
              <w:t>5</w:t>
            </w:r>
          </w:p>
        </w:tc>
        <w:tc>
          <w:tcPr>
            <w:tcW w:w="1458" w:type="dxa"/>
          </w:tcPr>
          <w:p>
            <w:pPr>
              <w:pStyle w:val="27"/>
              <w:rPr>
                <w:color w:val="auto"/>
              </w:rPr>
            </w:pPr>
            <w:r>
              <w:rPr>
                <w:color w:val="376092" w:themeColor="accent1" w:themeShade="BF"/>
              </w:rPr>
              <w:t>&lt;45</w:t>
            </w:r>
          </w:p>
        </w:tc>
        <w:tc>
          <w:tcPr>
            <w:tcW w:w="2907" w:type="dxa"/>
          </w:tcPr>
          <w:p>
            <w:pPr>
              <w:pStyle w:val="27"/>
              <w:rPr>
                <w:color w:val="auto"/>
              </w:rPr>
            </w:pPr>
            <w:r>
              <w:rPr>
                <w:color w:val="376092" w:themeColor="accent1" w:themeShade="BF"/>
              </w:rPr>
              <w:t>吸附浓缩+氧化燃烧技术（RTO/TO/RCO)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restart"/>
            <w:tcBorders>
              <w:left w:val="nil"/>
              <w:right w:val="nil"/>
            </w:tcBorders>
            <w:shd w:val="clear" w:color="auto" w:fill="D3DFEE" w:themeFill="accent1" w:themeFillTint="3F"/>
          </w:tcPr>
          <w:p>
            <w:pPr>
              <w:pStyle w:val="27"/>
              <w:rPr>
                <w:b/>
                <w:bCs w:val="0"/>
                <w:color w:val="376092" w:themeColor="accent1" w:themeShade="BF"/>
              </w:rPr>
            </w:pPr>
            <w:r>
              <w:rPr>
                <w:b/>
                <w:bCs w:val="0"/>
                <w:color w:val="376092" w:themeColor="accent1" w:themeShade="BF"/>
              </w:rPr>
              <w:t>300～500</w:t>
            </w:r>
          </w:p>
        </w:tc>
        <w:tc>
          <w:tcPr>
            <w:tcW w:w="1903"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&lt;6×10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&lt;45</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吸附回收技术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Pr>
          <w:p>
            <w:pPr>
              <w:pStyle w:val="27"/>
              <w:rPr>
                <w:b/>
                <w:bCs w:val="0"/>
                <w:color w:val="auto"/>
              </w:rPr>
            </w:pPr>
          </w:p>
        </w:tc>
        <w:tc>
          <w:tcPr>
            <w:tcW w:w="1903" w:type="dxa"/>
          </w:tcPr>
          <w:p>
            <w:pPr>
              <w:pStyle w:val="27"/>
              <w:rPr>
                <w:color w:val="auto"/>
              </w:rPr>
            </w:pPr>
            <w:r>
              <w:rPr>
                <w:color w:val="376092" w:themeColor="accent1" w:themeShade="BF"/>
              </w:rPr>
              <w:t>&lt;6×10</w:t>
            </w:r>
            <w:r>
              <w:rPr>
                <w:color w:val="376092" w:themeColor="accent1" w:themeShade="BF"/>
                <w:vertAlign w:val="superscript"/>
              </w:rPr>
              <w:t>4</w:t>
            </w:r>
          </w:p>
        </w:tc>
        <w:tc>
          <w:tcPr>
            <w:tcW w:w="1458" w:type="dxa"/>
          </w:tcPr>
          <w:p>
            <w:pPr>
              <w:pStyle w:val="27"/>
              <w:rPr>
                <w:color w:val="auto"/>
              </w:rPr>
            </w:pPr>
            <w:r>
              <w:rPr>
                <w:color w:val="376092" w:themeColor="accent1" w:themeShade="BF"/>
              </w:rPr>
              <w:t>&gt;45</w:t>
            </w:r>
          </w:p>
        </w:tc>
        <w:tc>
          <w:tcPr>
            <w:tcW w:w="2907" w:type="dxa"/>
          </w:tcPr>
          <w:p>
            <w:pPr>
              <w:pStyle w:val="27"/>
              <w:rPr>
                <w:color w:val="auto"/>
              </w:rPr>
            </w:pPr>
            <w:r>
              <w:rPr>
                <w:color w:val="376092" w:themeColor="accent1" w:themeShade="BF"/>
              </w:rPr>
              <w:t>吸附浓缩+氧化燃烧技术（RTO/TO/RCO)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Borders>
              <w:left w:val="nil"/>
              <w:right w:val="nil"/>
            </w:tcBorders>
            <w:shd w:val="clear" w:color="auto" w:fill="D3DFEE" w:themeFill="accent1" w:themeFillTint="3F"/>
          </w:tcPr>
          <w:p>
            <w:pPr>
              <w:pStyle w:val="27"/>
              <w:rPr>
                <w:b/>
                <w:bCs w:val="0"/>
                <w:color w:val="auto"/>
              </w:rPr>
            </w:pPr>
          </w:p>
        </w:tc>
        <w:tc>
          <w:tcPr>
            <w:tcW w:w="1903" w:type="dxa"/>
            <w:tcBorders>
              <w:right w:val="nil"/>
            </w:tcBorders>
            <w:shd w:val="clear" w:color="auto" w:fill="D3DFEE" w:themeFill="accent1" w:themeFillTint="3F"/>
          </w:tcPr>
          <w:p>
            <w:pPr>
              <w:pStyle w:val="27"/>
              <w:rPr>
                <w:color w:val="auto"/>
              </w:rPr>
            </w:pPr>
            <w:r>
              <w:rPr>
                <w:color w:val="376092" w:themeColor="accent1" w:themeShade="BF"/>
              </w:rPr>
              <w:t>&lt;2×10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auto"/>
              </w:rPr>
            </w:pPr>
            <w:r>
              <w:rPr>
                <w:color w:val="376092" w:themeColor="accent1" w:themeShade="BF"/>
              </w:rPr>
              <w:t>&lt;60</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低温等离子体技术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Pr>
          <w:p>
            <w:pPr>
              <w:pStyle w:val="27"/>
              <w:rPr>
                <w:b/>
                <w:bCs w:val="0"/>
                <w:color w:val="auto"/>
              </w:rPr>
            </w:pPr>
          </w:p>
        </w:tc>
        <w:tc>
          <w:tcPr>
            <w:tcW w:w="1903" w:type="dxa"/>
          </w:tcPr>
          <w:p>
            <w:pPr>
              <w:pStyle w:val="27"/>
              <w:rPr>
                <w:color w:val="auto"/>
              </w:rPr>
            </w:pPr>
            <w:r>
              <w:rPr>
                <w:color w:val="376092" w:themeColor="accent1" w:themeShade="BF"/>
              </w:rPr>
              <w:t>&lt;8×10</w:t>
            </w:r>
            <w:r>
              <w:rPr>
                <w:color w:val="376092" w:themeColor="accent1" w:themeShade="BF"/>
                <w:vertAlign w:val="superscript"/>
              </w:rPr>
              <w:t>4</w:t>
            </w:r>
          </w:p>
        </w:tc>
        <w:tc>
          <w:tcPr>
            <w:tcW w:w="1458" w:type="dxa"/>
          </w:tcPr>
          <w:p>
            <w:pPr>
              <w:pStyle w:val="27"/>
              <w:rPr>
                <w:color w:val="auto"/>
              </w:rPr>
            </w:pPr>
            <w:r>
              <w:rPr>
                <w:color w:val="376092" w:themeColor="accent1" w:themeShade="BF"/>
              </w:rPr>
              <w:t>&lt;90</w:t>
            </w:r>
          </w:p>
        </w:tc>
        <w:tc>
          <w:tcPr>
            <w:tcW w:w="2907" w:type="dxa"/>
          </w:tcPr>
          <w:p>
            <w:pPr>
              <w:pStyle w:val="27"/>
              <w:rPr>
                <w:color w:val="auto"/>
              </w:rPr>
            </w:pPr>
            <w:r>
              <w:rPr>
                <w:color w:val="376092" w:themeColor="accent1" w:themeShade="BF"/>
              </w:rPr>
              <w:t>光解催化技术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Borders>
              <w:left w:val="nil"/>
              <w:right w:val="nil"/>
            </w:tcBorders>
            <w:shd w:val="clear" w:color="auto" w:fill="D3DFEE" w:themeFill="accent1" w:themeFillTint="3F"/>
          </w:tcPr>
          <w:p>
            <w:pPr>
              <w:pStyle w:val="27"/>
              <w:rPr>
                <w:b/>
                <w:bCs w:val="0"/>
                <w:color w:val="auto"/>
              </w:rPr>
            </w:pPr>
          </w:p>
        </w:tc>
        <w:tc>
          <w:tcPr>
            <w:tcW w:w="1903" w:type="dxa"/>
            <w:tcBorders>
              <w:right w:val="nil"/>
            </w:tcBorders>
            <w:shd w:val="clear" w:color="auto" w:fill="D3DFEE" w:themeFill="accent1" w:themeFillTint="3F"/>
          </w:tcPr>
          <w:p>
            <w:pPr>
              <w:pStyle w:val="27"/>
              <w:rPr>
                <w:color w:val="auto"/>
              </w:rPr>
            </w:pPr>
            <w:r>
              <w:rPr>
                <w:color w:val="376092" w:themeColor="accent1" w:themeShade="BF"/>
              </w:rPr>
              <w:t>≥1×10</w:t>
            </w:r>
            <w:r>
              <w:rPr>
                <w:color w:val="376092" w:themeColor="accent1" w:themeShade="BF"/>
                <w:vertAlign w:val="superscript"/>
              </w:rPr>
              <w:t>5</w:t>
            </w:r>
          </w:p>
        </w:tc>
        <w:tc>
          <w:tcPr>
            <w:tcW w:w="1458" w:type="dxa"/>
            <w:tcBorders>
              <w:right w:val="nil"/>
            </w:tcBorders>
            <w:shd w:val="clear" w:color="auto" w:fill="D3DFEE" w:themeFill="accent1" w:themeFillTint="3F"/>
          </w:tcPr>
          <w:p>
            <w:pPr>
              <w:pStyle w:val="27"/>
              <w:rPr>
                <w:color w:val="auto"/>
              </w:rPr>
            </w:pPr>
            <w:r>
              <w:rPr>
                <w:color w:val="376092" w:themeColor="accent1" w:themeShade="BF"/>
              </w:rPr>
              <w:t>&lt;45</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吸附浓缩+氧化燃烧技术（RTO/TO/RCO)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tcPr>
          <w:p>
            <w:pPr>
              <w:pStyle w:val="27"/>
              <w:rPr>
                <w:b/>
                <w:bCs w:val="0"/>
                <w:color w:val="376092" w:themeColor="accent1" w:themeShade="BF"/>
              </w:rPr>
            </w:pPr>
            <w:r>
              <w:rPr>
                <w:b/>
                <w:bCs w:val="0"/>
                <w:color w:val="376092" w:themeColor="accent1" w:themeShade="BF"/>
              </w:rPr>
              <w:t>500～1000</w:t>
            </w:r>
          </w:p>
        </w:tc>
        <w:tc>
          <w:tcPr>
            <w:tcW w:w="1903" w:type="dxa"/>
          </w:tcPr>
          <w:p>
            <w:pPr>
              <w:pStyle w:val="27"/>
              <w:rPr>
                <w:color w:val="376092" w:themeColor="accent1" w:themeShade="BF"/>
              </w:rPr>
            </w:pPr>
            <w:r>
              <w:rPr>
                <w:color w:val="376092" w:themeColor="accent1" w:themeShade="BF"/>
              </w:rPr>
              <w:t>≥1×10</w:t>
            </w:r>
            <w:r>
              <w:rPr>
                <w:color w:val="376092" w:themeColor="accent1" w:themeShade="BF"/>
                <w:vertAlign w:val="superscript"/>
              </w:rPr>
              <w:t>5</w:t>
            </w:r>
          </w:p>
        </w:tc>
        <w:tc>
          <w:tcPr>
            <w:tcW w:w="1458" w:type="dxa"/>
          </w:tcPr>
          <w:p>
            <w:pPr>
              <w:pStyle w:val="27"/>
              <w:rPr>
                <w:color w:val="376092" w:themeColor="accent1" w:themeShade="BF"/>
              </w:rPr>
            </w:pPr>
            <w:r>
              <w:rPr>
                <w:color w:val="376092" w:themeColor="accent1" w:themeShade="BF"/>
              </w:rPr>
              <w:t>&lt;45</w:t>
            </w:r>
          </w:p>
        </w:tc>
        <w:tc>
          <w:tcPr>
            <w:tcW w:w="2907" w:type="dxa"/>
          </w:tcPr>
          <w:p>
            <w:pPr>
              <w:pStyle w:val="27"/>
              <w:rPr>
                <w:color w:val="auto"/>
              </w:rPr>
            </w:pPr>
            <w:r>
              <w:rPr>
                <w:color w:val="376092" w:themeColor="accent1" w:themeShade="BF"/>
              </w:rPr>
              <w:t>吸附浓缩+氧化燃烧技术（RTO/TO/RCO)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restart"/>
            <w:tcBorders>
              <w:left w:val="nil"/>
              <w:right w:val="nil"/>
            </w:tcBorders>
            <w:shd w:val="clear" w:color="auto" w:fill="D3DFEE" w:themeFill="accent1" w:themeFillTint="3F"/>
          </w:tcPr>
          <w:p>
            <w:pPr>
              <w:pStyle w:val="27"/>
              <w:rPr>
                <w:b/>
                <w:bCs w:val="0"/>
                <w:color w:val="376092" w:themeColor="accent1" w:themeShade="BF"/>
              </w:rPr>
            </w:pPr>
            <w:r>
              <w:rPr>
                <w:b/>
                <w:bCs w:val="0"/>
                <w:color w:val="376092" w:themeColor="accent1" w:themeShade="BF"/>
              </w:rPr>
              <w:t>1000～1500</w:t>
            </w:r>
          </w:p>
        </w:tc>
        <w:tc>
          <w:tcPr>
            <w:tcW w:w="1903"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10</w:t>
            </w:r>
            <w:r>
              <w:rPr>
                <w:color w:val="376092" w:themeColor="accent1" w:themeShade="BF"/>
                <w:vertAlign w:val="superscript"/>
              </w:rPr>
              <w:t>4</w:t>
            </w:r>
            <w:r>
              <w:rPr>
                <w:color w:val="376092" w:themeColor="accent1" w:themeShade="BF"/>
              </w:rPr>
              <w:t>～1.2×10</w:t>
            </w:r>
            <w:r>
              <w:rPr>
                <w:color w:val="376092" w:themeColor="accent1" w:themeShade="BF"/>
                <w:vertAlign w:val="superscript"/>
              </w:rPr>
              <w:t>5</w:t>
            </w:r>
          </w:p>
        </w:tc>
        <w:tc>
          <w:tcPr>
            <w:tcW w:w="1458"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&lt;45</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吸附浓缩技术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Pr>
          <w:p>
            <w:pPr>
              <w:pStyle w:val="27"/>
              <w:rPr>
                <w:b/>
                <w:bCs w:val="0"/>
                <w:color w:val="auto"/>
              </w:rPr>
            </w:pPr>
          </w:p>
        </w:tc>
        <w:tc>
          <w:tcPr>
            <w:tcW w:w="1903" w:type="dxa"/>
          </w:tcPr>
          <w:p>
            <w:pPr>
              <w:pStyle w:val="27"/>
              <w:rPr>
                <w:color w:val="auto"/>
              </w:rPr>
            </w:pPr>
            <w:r>
              <w:rPr>
                <w:color w:val="376092" w:themeColor="accent1" w:themeShade="BF"/>
              </w:rPr>
              <w:t>&lt;6×10</w:t>
            </w:r>
            <w:r>
              <w:rPr>
                <w:color w:val="376092" w:themeColor="accent1" w:themeShade="BF"/>
                <w:vertAlign w:val="superscript"/>
              </w:rPr>
              <w:t>4</w:t>
            </w:r>
          </w:p>
        </w:tc>
        <w:tc>
          <w:tcPr>
            <w:tcW w:w="1458" w:type="dxa"/>
          </w:tcPr>
          <w:p>
            <w:pPr>
              <w:pStyle w:val="27"/>
              <w:rPr>
                <w:color w:val="auto"/>
              </w:rPr>
            </w:pPr>
            <w:r>
              <w:rPr>
                <w:color w:val="376092" w:themeColor="accent1" w:themeShade="BF"/>
              </w:rPr>
              <w:t>&lt;500</w:t>
            </w:r>
          </w:p>
        </w:tc>
        <w:tc>
          <w:tcPr>
            <w:tcW w:w="2907" w:type="dxa"/>
          </w:tcPr>
          <w:p>
            <w:pPr>
              <w:pStyle w:val="27"/>
              <w:rPr>
                <w:color w:val="auto"/>
              </w:rPr>
            </w:pPr>
            <w:r>
              <w:rPr>
                <w:color w:val="376092" w:themeColor="accent1" w:themeShade="BF"/>
              </w:rPr>
              <w:t>RTO,TO,吸附回收技术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restart"/>
            <w:tcBorders>
              <w:left w:val="nil"/>
              <w:right w:val="nil"/>
            </w:tcBorders>
            <w:shd w:val="clear" w:color="auto" w:fill="D3DFEE" w:themeFill="accent1" w:themeFillTint="3F"/>
          </w:tcPr>
          <w:p>
            <w:pPr>
              <w:pStyle w:val="27"/>
              <w:rPr>
                <w:b/>
                <w:bCs w:val="0"/>
                <w:color w:val="376092" w:themeColor="accent1" w:themeShade="BF"/>
              </w:rPr>
            </w:pPr>
            <w:r>
              <w:rPr>
                <w:b/>
                <w:bCs w:val="0"/>
                <w:color w:val="376092" w:themeColor="accent1" w:themeShade="BF"/>
              </w:rPr>
              <w:t>1500～2000</w:t>
            </w:r>
          </w:p>
        </w:tc>
        <w:tc>
          <w:tcPr>
            <w:tcW w:w="1903"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&lt;4×10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376092" w:themeColor="accent1" w:themeShade="BF"/>
              </w:rPr>
            </w:pPr>
            <w:r>
              <w:rPr>
                <w:color w:val="376092" w:themeColor="accent1" w:themeShade="BF"/>
              </w:rPr>
              <w:t>&lt;45</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RCO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Pr>
          <w:p>
            <w:pPr>
              <w:pStyle w:val="27"/>
              <w:rPr>
                <w:b/>
                <w:bCs w:val="0"/>
                <w:color w:val="auto"/>
              </w:rPr>
            </w:pPr>
          </w:p>
        </w:tc>
        <w:tc>
          <w:tcPr>
            <w:tcW w:w="1903" w:type="dxa"/>
          </w:tcPr>
          <w:p>
            <w:pPr>
              <w:pStyle w:val="27"/>
              <w:rPr>
                <w:color w:val="auto"/>
              </w:rPr>
            </w:pPr>
            <w:r>
              <w:rPr>
                <w:color w:val="376092" w:themeColor="accent1" w:themeShade="BF"/>
              </w:rPr>
              <w:t>&lt;6×10</w:t>
            </w:r>
            <w:r>
              <w:rPr>
                <w:color w:val="376092" w:themeColor="accent1" w:themeShade="BF"/>
                <w:vertAlign w:val="superscript"/>
              </w:rPr>
              <w:t>4</w:t>
            </w:r>
          </w:p>
        </w:tc>
        <w:tc>
          <w:tcPr>
            <w:tcW w:w="1458" w:type="dxa"/>
          </w:tcPr>
          <w:p>
            <w:pPr>
              <w:pStyle w:val="27"/>
              <w:rPr>
                <w:color w:val="auto"/>
              </w:rPr>
            </w:pPr>
            <w:r>
              <w:rPr>
                <w:color w:val="376092" w:themeColor="accent1" w:themeShade="BF"/>
              </w:rPr>
              <w:t>&lt;500</w:t>
            </w:r>
          </w:p>
        </w:tc>
        <w:tc>
          <w:tcPr>
            <w:tcW w:w="2907" w:type="dxa"/>
          </w:tcPr>
          <w:p>
            <w:pPr>
              <w:pStyle w:val="27"/>
              <w:rPr>
                <w:color w:val="auto"/>
              </w:rPr>
            </w:pPr>
            <w:r>
              <w:rPr>
                <w:color w:val="376092" w:themeColor="accent1" w:themeShade="BF"/>
              </w:rPr>
              <w:t>RTO,TO ,吸附回收技术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Borders>
              <w:left w:val="nil"/>
              <w:right w:val="nil"/>
            </w:tcBorders>
            <w:shd w:val="clear" w:color="auto" w:fill="D3DFEE" w:themeFill="accent1" w:themeFillTint="3F"/>
          </w:tcPr>
          <w:p>
            <w:pPr>
              <w:pStyle w:val="27"/>
              <w:rPr>
                <w:b/>
                <w:bCs w:val="0"/>
                <w:color w:val="auto"/>
              </w:rPr>
            </w:pPr>
          </w:p>
        </w:tc>
        <w:tc>
          <w:tcPr>
            <w:tcW w:w="1903" w:type="dxa"/>
            <w:tcBorders>
              <w:right w:val="nil"/>
            </w:tcBorders>
            <w:shd w:val="clear" w:color="auto" w:fill="D3DFEE" w:themeFill="accent1" w:themeFillTint="3F"/>
          </w:tcPr>
          <w:p>
            <w:pPr>
              <w:pStyle w:val="27"/>
              <w:rPr>
                <w:color w:val="auto"/>
              </w:rPr>
            </w:pPr>
            <w:r>
              <w:rPr>
                <w:color w:val="376092" w:themeColor="accent1" w:themeShade="BF"/>
              </w:rPr>
              <w:t>&lt;4×10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auto"/>
              </w:rPr>
            </w:pPr>
            <w:r>
              <w:rPr>
                <w:color w:val="376092" w:themeColor="accent1" w:themeShade="BF"/>
              </w:rPr>
              <w:t>&lt;700</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RTO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restart"/>
          </w:tcPr>
          <w:p>
            <w:pPr>
              <w:pStyle w:val="27"/>
              <w:rPr>
                <w:b/>
                <w:bCs w:val="0"/>
                <w:color w:val="376092" w:themeColor="accent1" w:themeShade="BF"/>
              </w:rPr>
            </w:pPr>
            <w:r>
              <w:rPr>
                <w:b/>
                <w:bCs w:val="0"/>
                <w:color w:val="376092" w:themeColor="accent1" w:themeShade="BF"/>
              </w:rPr>
              <w:t>2000～3000</w:t>
            </w:r>
          </w:p>
        </w:tc>
        <w:tc>
          <w:tcPr>
            <w:tcW w:w="1903" w:type="dxa"/>
          </w:tcPr>
          <w:p>
            <w:pPr>
              <w:pStyle w:val="27"/>
              <w:rPr>
                <w:color w:val="376092" w:themeColor="accent1" w:themeShade="BF"/>
              </w:rPr>
            </w:pPr>
            <w:r>
              <w:rPr>
                <w:color w:val="376092" w:themeColor="accent1" w:themeShade="BF"/>
              </w:rPr>
              <w:t>&lt;6×10</w:t>
            </w:r>
            <w:r>
              <w:rPr>
                <w:color w:val="376092" w:themeColor="accent1" w:themeShade="BF"/>
                <w:vertAlign w:val="superscript"/>
              </w:rPr>
              <w:t>4</w:t>
            </w:r>
          </w:p>
        </w:tc>
        <w:tc>
          <w:tcPr>
            <w:tcW w:w="1458" w:type="dxa"/>
          </w:tcPr>
          <w:p>
            <w:pPr>
              <w:pStyle w:val="27"/>
              <w:rPr>
                <w:color w:val="376092" w:themeColor="accent1" w:themeShade="BF"/>
              </w:rPr>
            </w:pPr>
            <w:r>
              <w:rPr>
                <w:color w:val="376092" w:themeColor="accent1" w:themeShade="BF"/>
              </w:rPr>
              <w:t>&lt;500</w:t>
            </w:r>
          </w:p>
        </w:tc>
        <w:tc>
          <w:tcPr>
            <w:tcW w:w="2907" w:type="dxa"/>
          </w:tcPr>
          <w:p>
            <w:pPr>
              <w:pStyle w:val="27"/>
              <w:rPr>
                <w:color w:val="auto"/>
              </w:rPr>
            </w:pPr>
            <w:r>
              <w:rPr>
                <w:color w:val="376092" w:themeColor="accent1" w:themeShade="BF"/>
              </w:rPr>
              <w:t>RCO,催化燃烧技术，TO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Borders>
              <w:left w:val="nil"/>
              <w:right w:val="nil"/>
            </w:tcBorders>
            <w:shd w:val="clear" w:color="auto" w:fill="D3DFEE" w:themeFill="accent1" w:themeFillTint="3F"/>
          </w:tcPr>
          <w:p>
            <w:pPr>
              <w:pStyle w:val="27"/>
              <w:rPr>
                <w:b/>
                <w:bCs w:val="0"/>
                <w:color w:val="auto"/>
              </w:rPr>
            </w:pPr>
          </w:p>
        </w:tc>
        <w:tc>
          <w:tcPr>
            <w:tcW w:w="1903" w:type="dxa"/>
            <w:tcBorders>
              <w:right w:val="nil"/>
            </w:tcBorders>
            <w:shd w:val="clear" w:color="auto" w:fill="D3DFEE" w:themeFill="accent1" w:themeFillTint="3F"/>
          </w:tcPr>
          <w:p>
            <w:pPr>
              <w:pStyle w:val="27"/>
              <w:rPr>
                <w:color w:val="auto"/>
              </w:rPr>
            </w:pPr>
            <w:r>
              <w:rPr>
                <w:color w:val="376092" w:themeColor="accent1" w:themeShade="BF"/>
              </w:rPr>
              <w:t>&lt;4×10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auto"/>
              </w:rPr>
            </w:pPr>
            <w:r>
              <w:rPr>
                <w:color w:val="376092" w:themeColor="accent1" w:themeShade="BF"/>
              </w:rPr>
              <w:t>&lt;700</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RTO,TO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Pr>
          <w:p>
            <w:pPr>
              <w:pStyle w:val="27"/>
              <w:rPr>
                <w:b/>
                <w:bCs w:val="0"/>
                <w:color w:val="auto"/>
              </w:rPr>
            </w:pPr>
          </w:p>
        </w:tc>
        <w:tc>
          <w:tcPr>
            <w:tcW w:w="1903" w:type="dxa"/>
          </w:tcPr>
          <w:p>
            <w:pPr>
              <w:pStyle w:val="27"/>
              <w:rPr>
                <w:color w:val="auto"/>
              </w:rPr>
            </w:pPr>
            <w:r>
              <w:rPr>
                <w:color w:val="376092" w:themeColor="accent1" w:themeShade="BF"/>
              </w:rPr>
              <w:t>&lt;6×10</w:t>
            </w:r>
            <w:r>
              <w:rPr>
                <w:color w:val="376092" w:themeColor="accent1" w:themeShade="BF"/>
                <w:vertAlign w:val="superscript"/>
              </w:rPr>
              <w:t>4</w:t>
            </w:r>
          </w:p>
        </w:tc>
        <w:tc>
          <w:tcPr>
            <w:tcW w:w="1458" w:type="dxa"/>
          </w:tcPr>
          <w:p>
            <w:pPr>
              <w:pStyle w:val="27"/>
              <w:rPr>
                <w:color w:val="auto"/>
              </w:rPr>
            </w:pPr>
            <w:r>
              <w:rPr>
                <w:color w:val="376092" w:themeColor="accent1" w:themeShade="BF"/>
              </w:rPr>
              <w:t>&lt;45</w:t>
            </w:r>
          </w:p>
        </w:tc>
        <w:tc>
          <w:tcPr>
            <w:tcW w:w="2907" w:type="dxa"/>
          </w:tcPr>
          <w:p>
            <w:pPr>
              <w:pStyle w:val="27"/>
              <w:rPr>
                <w:color w:val="auto"/>
              </w:rPr>
            </w:pPr>
            <w:r>
              <w:rPr>
                <w:color w:val="376092" w:themeColor="accent1" w:themeShade="BF"/>
              </w:rPr>
              <w:t>吸附回收技术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Borders>
              <w:left w:val="nil"/>
              <w:right w:val="nil"/>
            </w:tcBorders>
            <w:shd w:val="clear" w:color="auto" w:fill="D3DFEE" w:themeFill="accent1" w:themeFillTint="3F"/>
          </w:tcPr>
          <w:p>
            <w:pPr>
              <w:pStyle w:val="27"/>
              <w:rPr>
                <w:b/>
                <w:bCs w:val="0"/>
                <w:color w:val="auto"/>
              </w:rPr>
            </w:pPr>
          </w:p>
        </w:tc>
        <w:tc>
          <w:tcPr>
            <w:tcW w:w="1903" w:type="dxa"/>
            <w:tcBorders>
              <w:right w:val="nil"/>
            </w:tcBorders>
            <w:shd w:val="clear" w:color="auto" w:fill="D3DFEE" w:themeFill="accent1" w:themeFillTint="3F"/>
          </w:tcPr>
          <w:p>
            <w:pPr>
              <w:pStyle w:val="27"/>
              <w:rPr>
                <w:color w:val="auto"/>
              </w:rPr>
            </w:pPr>
            <w:r>
              <w:rPr>
                <w:color w:val="376092" w:themeColor="accent1" w:themeShade="BF"/>
              </w:rPr>
              <w:t>6×10</w:t>
            </w:r>
            <w:r>
              <w:rPr>
                <w:color w:val="376092" w:themeColor="accent1" w:themeShade="BF"/>
                <w:vertAlign w:val="superscript"/>
              </w:rPr>
              <w:t>3</w:t>
            </w:r>
            <w:r>
              <w:rPr>
                <w:color w:val="376092" w:themeColor="accent1" w:themeShade="BF"/>
              </w:rPr>
              <w:t>～1.8×10</w:t>
            </w:r>
            <w:r>
              <w:rPr>
                <w:color w:val="376092" w:themeColor="accent1" w:themeShade="BF"/>
                <w:vertAlign w:val="superscript"/>
              </w:rPr>
              <w:t>5</w:t>
            </w:r>
          </w:p>
        </w:tc>
        <w:tc>
          <w:tcPr>
            <w:tcW w:w="1458" w:type="dxa"/>
            <w:tcBorders>
              <w:right w:val="nil"/>
            </w:tcBorders>
            <w:shd w:val="clear" w:color="auto" w:fill="D3DFEE" w:themeFill="accent1" w:themeFillTint="3F"/>
          </w:tcPr>
          <w:p>
            <w:pPr>
              <w:pStyle w:val="27"/>
              <w:rPr>
                <w:color w:val="auto"/>
              </w:rPr>
            </w:pPr>
            <w:r>
              <w:rPr>
                <w:color w:val="376092" w:themeColor="accent1" w:themeShade="BF"/>
              </w:rPr>
              <w:t>&lt;500</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RTO</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restart"/>
          </w:tcPr>
          <w:p>
            <w:pPr>
              <w:pStyle w:val="27"/>
              <w:rPr>
                <w:b/>
                <w:bCs w:val="0"/>
                <w:color w:val="376092" w:themeColor="accent1" w:themeShade="BF"/>
              </w:rPr>
            </w:pPr>
            <w:r>
              <w:rPr>
                <w:b/>
                <w:bCs w:val="0"/>
                <w:color w:val="376092" w:themeColor="accent1" w:themeShade="BF"/>
              </w:rPr>
              <w:t>3000～1/4LEE*</w:t>
            </w:r>
          </w:p>
        </w:tc>
        <w:tc>
          <w:tcPr>
            <w:tcW w:w="1903" w:type="dxa"/>
          </w:tcPr>
          <w:p>
            <w:pPr>
              <w:pStyle w:val="27"/>
              <w:rPr>
                <w:color w:val="376092" w:themeColor="accent1" w:themeShade="BF"/>
              </w:rPr>
            </w:pPr>
            <w:r>
              <w:rPr>
                <w:color w:val="376092" w:themeColor="accent1" w:themeShade="BF"/>
              </w:rPr>
              <w:t>&lt;6×10</w:t>
            </w:r>
            <w:r>
              <w:rPr>
                <w:color w:val="376092" w:themeColor="accent1" w:themeShade="BF"/>
                <w:vertAlign w:val="superscript"/>
              </w:rPr>
              <w:t>4</w:t>
            </w:r>
          </w:p>
        </w:tc>
        <w:tc>
          <w:tcPr>
            <w:tcW w:w="1458" w:type="dxa"/>
          </w:tcPr>
          <w:p>
            <w:pPr>
              <w:pStyle w:val="27"/>
              <w:rPr>
                <w:color w:val="376092" w:themeColor="accent1" w:themeShade="BF"/>
              </w:rPr>
            </w:pPr>
            <w:r>
              <w:rPr>
                <w:color w:val="376092" w:themeColor="accent1" w:themeShade="BF"/>
              </w:rPr>
              <w:t>&lt;500</w:t>
            </w:r>
          </w:p>
        </w:tc>
        <w:tc>
          <w:tcPr>
            <w:tcW w:w="2907" w:type="dxa"/>
          </w:tcPr>
          <w:p>
            <w:pPr>
              <w:pStyle w:val="27"/>
              <w:rPr>
                <w:color w:val="auto"/>
              </w:rPr>
            </w:pPr>
            <w:r>
              <w:rPr>
                <w:color w:val="376092" w:themeColor="accent1" w:themeShade="BF"/>
              </w:rPr>
              <w:t>RTO,TO,吸附回收技术</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95" w:type="dxa"/>
            <w:vMerge w:val="continue"/>
            <w:tcBorders>
              <w:left w:val="nil"/>
              <w:right w:val="nil"/>
            </w:tcBorders>
            <w:shd w:val="clear" w:color="auto" w:fill="D3DFEE" w:themeFill="accent1" w:themeFillTint="3F"/>
          </w:tcPr>
          <w:p>
            <w:pPr>
              <w:pStyle w:val="27"/>
              <w:rPr>
                <w:b/>
                <w:bCs w:val="0"/>
                <w:color w:val="auto"/>
              </w:rPr>
            </w:pPr>
          </w:p>
        </w:tc>
        <w:tc>
          <w:tcPr>
            <w:tcW w:w="1903" w:type="dxa"/>
            <w:tcBorders>
              <w:right w:val="nil"/>
            </w:tcBorders>
            <w:shd w:val="clear" w:color="auto" w:fill="D3DFEE" w:themeFill="accent1" w:themeFillTint="3F"/>
          </w:tcPr>
          <w:p>
            <w:pPr>
              <w:pStyle w:val="27"/>
              <w:rPr>
                <w:color w:val="auto"/>
              </w:rPr>
            </w:pPr>
            <w:r>
              <w:rPr>
                <w:color w:val="376092" w:themeColor="accent1" w:themeShade="BF"/>
              </w:rPr>
              <w:t>&lt;4×10</w:t>
            </w:r>
            <w:r>
              <w:rPr>
                <w:color w:val="376092" w:themeColor="accent1" w:themeShade="BF"/>
                <w:vertAlign w:val="superscript"/>
              </w:rPr>
              <w:t>4</w:t>
            </w:r>
          </w:p>
        </w:tc>
        <w:tc>
          <w:tcPr>
            <w:tcW w:w="1458" w:type="dxa"/>
            <w:tcBorders>
              <w:right w:val="nil"/>
            </w:tcBorders>
            <w:shd w:val="clear" w:color="auto" w:fill="D3DFEE" w:themeFill="accent1" w:themeFillTint="3F"/>
          </w:tcPr>
          <w:p>
            <w:pPr>
              <w:pStyle w:val="27"/>
              <w:rPr>
                <w:color w:val="auto"/>
              </w:rPr>
            </w:pPr>
            <w:r>
              <w:rPr>
                <w:color w:val="376092" w:themeColor="accent1" w:themeShade="BF"/>
              </w:rPr>
              <w:t>&lt;700</w:t>
            </w:r>
          </w:p>
        </w:tc>
        <w:tc>
          <w:tcPr>
            <w:tcW w:w="2907" w:type="dxa"/>
            <w:tcBorders>
              <w:right w:val="nil"/>
            </w:tcBorders>
            <w:shd w:val="clear" w:color="auto" w:fill="D3DFEE" w:themeFill="accent1" w:themeFillTint="3F"/>
          </w:tcPr>
          <w:p>
            <w:pPr>
              <w:pStyle w:val="27"/>
              <w:rPr>
                <w:color w:val="auto"/>
              </w:rPr>
            </w:pPr>
            <w:r>
              <w:rPr>
                <w:color w:val="376092" w:themeColor="accent1" w:themeShade="BF"/>
              </w:rPr>
              <w:t>TO</w:t>
            </w:r>
          </w:p>
        </w:tc>
      </w:tr>
    </w:tbl>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*LEL：即爆炸下限，指可燃气体在空气中遇明火爆炸的最低浓度</w:t>
      </w:r>
    </w:p>
    <w:p>
      <w:pPr>
        <w:pStyle w:val="25"/>
      </w:pPr>
      <w:r>
        <w:rPr>
          <w:rFonts w:hint="eastAsia"/>
        </w:rPr>
        <w:t>#处理规模（Nm</w:t>
      </w:r>
      <w:r>
        <w:rPr>
          <w:rFonts w:hint="eastAsia"/>
          <w:vertAlign w:val="superscript"/>
        </w:rPr>
        <w:t>3</w:t>
      </w:r>
      <w:r>
        <w:rPr>
          <w:rFonts w:hint="eastAsia"/>
        </w:rPr>
        <w:t>/h)：废气治理设备风量= 喷漆房体积</w:t>
      </w:r>
      <w:r>
        <w:rPr>
          <w:rFonts w:ascii="Symath" w:hAnsi="Symath" w:cs="Symath"/>
        </w:rPr>
        <w:t>G</w:t>
      </w:r>
      <w:r>
        <w:rPr>
          <w:rFonts w:hint="eastAsia"/>
        </w:rPr>
        <w:t>N</w:t>
      </w:r>
    </w:p>
    <w:p>
      <w:pPr>
        <w:pStyle w:val="25"/>
        <w:rPr>
          <w:highlight w:val="yellow"/>
        </w:rPr>
      </w:pPr>
      <w:r>
        <w:rPr>
          <w:rFonts w:hint="eastAsia"/>
        </w:rPr>
        <w:t>N：每小时车间换气次数（确保车间内有机物的浓度满足《工业企业设计卫生标准GBZ1》，风速须满足《涂装作业安全规程喷漆室安全技术规定》（GB14444）中表1的要求。）</w:t>
      </w:r>
    </w:p>
    <w:p>
      <w:pPr>
        <w:spacing w:line="360" w:lineRule="auto"/>
        <w:ind w:firstLine="480" w:firstLineChars="200"/>
        <w:rPr>
          <w:rFonts w:ascii="Times New Roman" w:hAnsi="Times New Roman"/>
          <w:color w:val="000000" w:themeColor="text1"/>
          <w:sz w:val="24"/>
          <w14:textFill>
            <w14:solidFill>
              <w14:schemeClr w14:val="tx1"/>
            </w14:solidFill>
          </w14:textFill>
        </w:rPr>
      </w:pPr>
    </w:p>
    <w:p>
      <w:pPr>
        <w:pStyle w:val="26"/>
      </w:pPr>
      <w:r>
        <w:rPr>
          <w:rFonts w:hint="eastAsia"/>
        </w:rPr>
        <w:t xml:space="preserve">表4 组合治理技术各项经济和技术指标                                                                                                                                                                                                                                                                                                                                                                                                                                                                                                                                                                                                                                                                                                                                                                                                                                                                                                                                                                                                                                                                                                                                                                                                                                                                                                                                                                                                                                                                                                                                                                                                                                                                                                                                                                                                                                                                                                                                                                                                                                                                                                                                                                                                                                                                                                                                                                                                                                                                                                                                                                                                                                                                                                                                                                                                                                                                                                                                                                                                                                                                                                                                                                                                                                                                                                                                                                                                                                                                                                                                                                                                                                                                                                                                                                                                                                                                                                                                                                                                                                                                                                                                                                                              </w:t>
      </w:r>
    </w:p>
    <w:tbl>
      <w:tblPr>
        <w:tblStyle w:val="14"/>
        <w:tblW w:w="8522" w:type="dxa"/>
        <w:tblInd w:w="0" w:type="dxa"/>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1054"/>
        <w:gridCol w:w="836"/>
        <w:gridCol w:w="1040"/>
        <w:gridCol w:w="1167"/>
        <w:gridCol w:w="1092"/>
        <w:gridCol w:w="732"/>
        <w:gridCol w:w="732"/>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9" w:type="dxa"/>
            <w:tcBorders>
              <w:top w:val="single" w:color="4F81BD" w:themeColor="accent1" w:sz="8" w:space="0"/>
              <w:left w:val="nil"/>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治理技术</w:t>
            </w:r>
          </w:p>
        </w:tc>
        <w:tc>
          <w:tcPr>
            <w:tcW w:w="1054"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去除效率</w:t>
            </w:r>
          </w:p>
        </w:tc>
        <w:tc>
          <w:tcPr>
            <w:tcW w:w="836"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建设</w:t>
            </w:r>
          </w:p>
          <w:p>
            <w:pPr>
              <w:pStyle w:val="27"/>
              <w:spacing w:before="0" w:after="0"/>
              <w:rPr>
                <w:b/>
                <w:bCs w:val="0"/>
                <w:color w:val="376092" w:themeColor="accent1" w:themeShade="BF"/>
              </w:rPr>
            </w:pPr>
            <w:r>
              <w:rPr>
                <w:rFonts w:hint="eastAsia"/>
                <w:b/>
                <w:bCs w:val="0"/>
                <w:color w:val="376092" w:themeColor="accent1" w:themeShade="BF"/>
              </w:rPr>
              <w:t>成本</w:t>
            </w:r>
          </w:p>
        </w:tc>
        <w:tc>
          <w:tcPr>
            <w:tcW w:w="1040"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运行</w:t>
            </w:r>
          </w:p>
          <w:p>
            <w:pPr>
              <w:pStyle w:val="27"/>
              <w:spacing w:before="0" w:after="0"/>
              <w:rPr>
                <w:b/>
                <w:bCs w:val="0"/>
                <w:color w:val="376092" w:themeColor="accent1" w:themeShade="BF"/>
              </w:rPr>
            </w:pPr>
            <w:r>
              <w:rPr>
                <w:rFonts w:hint="eastAsia"/>
                <w:b/>
                <w:bCs w:val="0"/>
                <w:color w:val="376092" w:themeColor="accent1" w:themeShade="BF"/>
              </w:rPr>
              <w:t>成本</w:t>
            </w:r>
          </w:p>
        </w:tc>
        <w:tc>
          <w:tcPr>
            <w:tcW w:w="1167"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auto"/>
              </w:rPr>
            </w:pPr>
            <w:r>
              <w:rPr>
                <w:rFonts w:hint="eastAsia"/>
                <w:b/>
                <w:bCs w:val="0"/>
                <w:color w:val="376092" w:themeColor="accent1" w:themeShade="BF"/>
              </w:rPr>
              <w:t>安全</w:t>
            </w:r>
          </w:p>
          <w:p>
            <w:pPr>
              <w:pStyle w:val="27"/>
              <w:spacing w:before="0" w:after="0"/>
              <w:rPr>
                <w:b/>
                <w:bCs w:val="0"/>
                <w:color w:val="auto"/>
              </w:rPr>
            </w:pPr>
            <w:r>
              <w:rPr>
                <w:rFonts w:hint="eastAsia"/>
                <w:b/>
                <w:bCs w:val="0"/>
                <w:color w:val="376092" w:themeColor="accent1" w:themeShade="BF"/>
              </w:rPr>
              <w:t>系数</w:t>
            </w:r>
          </w:p>
        </w:tc>
        <w:tc>
          <w:tcPr>
            <w:tcW w:w="1092"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auto"/>
              </w:rPr>
            </w:pPr>
            <w:r>
              <w:rPr>
                <w:rFonts w:hint="eastAsia"/>
                <w:b/>
                <w:bCs w:val="0"/>
                <w:color w:val="376092" w:themeColor="accent1" w:themeShade="BF"/>
              </w:rPr>
              <w:t>自动化</w:t>
            </w:r>
          </w:p>
          <w:p>
            <w:pPr>
              <w:pStyle w:val="27"/>
              <w:spacing w:before="0" w:after="0"/>
              <w:rPr>
                <w:b/>
                <w:bCs w:val="0"/>
                <w:color w:val="auto"/>
              </w:rPr>
            </w:pPr>
            <w:r>
              <w:rPr>
                <w:rFonts w:hint="eastAsia"/>
                <w:b/>
                <w:bCs w:val="0"/>
                <w:color w:val="376092" w:themeColor="accent1" w:themeShade="BF"/>
              </w:rPr>
              <w:t>程度</w:t>
            </w:r>
          </w:p>
        </w:tc>
        <w:tc>
          <w:tcPr>
            <w:tcW w:w="732"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auto"/>
              </w:rPr>
            </w:pPr>
            <w:r>
              <w:rPr>
                <w:rFonts w:hint="eastAsia"/>
                <w:b/>
                <w:bCs w:val="0"/>
                <w:color w:val="376092" w:themeColor="accent1" w:themeShade="BF"/>
              </w:rPr>
              <w:t>监控难度</w:t>
            </w:r>
          </w:p>
        </w:tc>
        <w:tc>
          <w:tcPr>
            <w:tcW w:w="732"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auto"/>
              </w:rPr>
              <w:t>推荐指数</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869" w:type="dxa"/>
            <w:tcBorders>
              <w:left w:val="nil"/>
              <w:right w:val="nil"/>
            </w:tcBorders>
            <w:shd w:val="clear" w:color="auto" w:fill="D3DFEE" w:themeFill="accent1" w:themeFillTint="3F"/>
          </w:tcPr>
          <w:p>
            <w:pPr>
              <w:pStyle w:val="27"/>
              <w:rPr>
                <w:b/>
                <w:bCs w:val="0"/>
                <w:color w:val="376092" w:themeColor="accent1" w:themeShade="BF"/>
              </w:rPr>
            </w:pPr>
            <w:r>
              <w:rPr>
                <w:rFonts w:hint="eastAsia"/>
                <w:b/>
                <w:bCs w:val="0"/>
                <w:color w:val="376092" w:themeColor="accent1" w:themeShade="BF"/>
              </w:rPr>
              <w:t>活性炭吸附+催化燃烧</w:t>
            </w:r>
          </w:p>
        </w:tc>
        <w:tc>
          <w:tcPr>
            <w:tcW w:w="1054"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&gt;90%</w:t>
            </w:r>
          </w:p>
        </w:tc>
        <w:tc>
          <w:tcPr>
            <w:tcW w:w="836"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c>
          <w:tcPr>
            <w:tcW w:w="104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167"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92"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732"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732"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869" w:type="dxa"/>
          </w:tcPr>
          <w:p>
            <w:pPr>
              <w:pStyle w:val="27"/>
              <w:rPr>
                <w:b/>
                <w:bCs w:val="0"/>
                <w:color w:val="376092" w:themeColor="accent1" w:themeShade="BF"/>
              </w:rPr>
            </w:pPr>
            <w:r>
              <w:rPr>
                <w:rFonts w:hint="eastAsia"/>
                <w:b/>
                <w:bCs w:val="0"/>
                <w:color w:val="376092" w:themeColor="accent1" w:themeShade="BF"/>
              </w:rPr>
              <w:t>沸石转轮吸附+蓄热式热氧化</w:t>
            </w:r>
          </w:p>
        </w:tc>
        <w:tc>
          <w:tcPr>
            <w:tcW w:w="1054" w:type="dxa"/>
          </w:tcPr>
          <w:p>
            <w:pPr>
              <w:pStyle w:val="27"/>
              <w:rPr>
                <w:color w:val="376092" w:themeColor="accent1" w:themeShade="BF"/>
              </w:rPr>
            </w:pPr>
            <w:r>
              <w:rPr>
                <w:rFonts w:hint="eastAsia"/>
                <w:color w:val="376092" w:themeColor="accent1" w:themeShade="BF"/>
              </w:rPr>
              <w:t>&gt;90%</w:t>
            </w:r>
          </w:p>
        </w:tc>
        <w:tc>
          <w:tcPr>
            <w:tcW w:w="836" w:type="dxa"/>
          </w:tcPr>
          <w:p>
            <w:pPr>
              <w:pStyle w:val="27"/>
              <w:rPr>
                <w:color w:val="376092" w:themeColor="accent1" w:themeShade="BF"/>
              </w:rPr>
            </w:pPr>
            <w:r>
              <w:rPr>
                <w:rFonts w:hint="eastAsia"/>
                <w:color w:val="376092" w:themeColor="accent1" w:themeShade="BF"/>
              </w:rPr>
              <w:t>*****</w:t>
            </w:r>
          </w:p>
        </w:tc>
        <w:tc>
          <w:tcPr>
            <w:tcW w:w="1040" w:type="dxa"/>
          </w:tcPr>
          <w:p>
            <w:pPr>
              <w:pStyle w:val="27"/>
              <w:rPr>
                <w:color w:val="auto"/>
              </w:rPr>
            </w:pPr>
            <w:r>
              <w:rPr>
                <w:rFonts w:hint="eastAsia"/>
                <w:color w:val="376092" w:themeColor="accent1" w:themeShade="BF"/>
              </w:rPr>
              <w:t>***</w:t>
            </w:r>
          </w:p>
        </w:tc>
        <w:tc>
          <w:tcPr>
            <w:tcW w:w="1167" w:type="dxa"/>
          </w:tcPr>
          <w:p>
            <w:pPr>
              <w:pStyle w:val="27"/>
              <w:rPr>
                <w:color w:val="auto"/>
              </w:rPr>
            </w:pPr>
            <w:r>
              <w:rPr>
                <w:rFonts w:hint="eastAsia"/>
                <w:color w:val="376092" w:themeColor="accent1" w:themeShade="BF"/>
              </w:rPr>
              <w:t>****</w:t>
            </w:r>
          </w:p>
        </w:tc>
        <w:tc>
          <w:tcPr>
            <w:tcW w:w="1092" w:type="dxa"/>
          </w:tcPr>
          <w:p>
            <w:pPr>
              <w:pStyle w:val="27"/>
              <w:rPr>
                <w:color w:val="auto"/>
              </w:rPr>
            </w:pPr>
            <w:r>
              <w:rPr>
                <w:rFonts w:hint="eastAsia"/>
                <w:color w:val="376092" w:themeColor="accent1" w:themeShade="BF"/>
              </w:rPr>
              <w:t>*****</w:t>
            </w:r>
          </w:p>
        </w:tc>
        <w:tc>
          <w:tcPr>
            <w:tcW w:w="732" w:type="dxa"/>
          </w:tcPr>
          <w:p>
            <w:pPr>
              <w:pStyle w:val="27"/>
              <w:rPr>
                <w:color w:val="auto"/>
              </w:rPr>
            </w:pPr>
            <w:r>
              <w:rPr>
                <w:rFonts w:hint="eastAsia"/>
                <w:color w:val="376092" w:themeColor="accent1" w:themeShade="BF"/>
              </w:rPr>
              <w:t>*</w:t>
            </w:r>
          </w:p>
        </w:tc>
        <w:tc>
          <w:tcPr>
            <w:tcW w:w="732" w:type="dxa"/>
          </w:tcPr>
          <w:p>
            <w:pPr>
              <w:pStyle w:val="27"/>
              <w:rPr>
                <w:color w:val="376092" w:themeColor="accent1" w:themeShade="BF"/>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869" w:type="dxa"/>
            <w:tcBorders>
              <w:left w:val="nil"/>
              <w:right w:val="nil"/>
            </w:tcBorders>
            <w:shd w:val="clear" w:color="auto" w:fill="D3DFEE" w:themeFill="accent1" w:themeFillTint="3F"/>
          </w:tcPr>
          <w:p>
            <w:pPr>
              <w:pStyle w:val="27"/>
              <w:rPr>
                <w:b/>
                <w:bCs w:val="0"/>
                <w:color w:val="376092" w:themeColor="accent1" w:themeShade="BF"/>
              </w:rPr>
            </w:pPr>
            <w:r>
              <w:rPr>
                <w:rFonts w:hint="eastAsia"/>
                <w:b/>
                <w:bCs w:val="0"/>
                <w:color w:val="376092" w:themeColor="accent1" w:themeShade="BF"/>
              </w:rPr>
              <w:t>沸石转轮吸附+蓄热式催化燃烧</w:t>
            </w:r>
          </w:p>
        </w:tc>
        <w:tc>
          <w:tcPr>
            <w:tcW w:w="1054"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&gt;90%</w:t>
            </w:r>
          </w:p>
        </w:tc>
        <w:tc>
          <w:tcPr>
            <w:tcW w:w="836"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c>
          <w:tcPr>
            <w:tcW w:w="104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167"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92"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732"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732"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869" w:type="dxa"/>
          </w:tcPr>
          <w:p>
            <w:pPr>
              <w:pStyle w:val="27"/>
              <w:rPr>
                <w:b/>
                <w:bCs w:val="0"/>
                <w:color w:val="376092" w:themeColor="accent1" w:themeShade="BF"/>
              </w:rPr>
            </w:pPr>
            <w:r>
              <w:rPr>
                <w:rFonts w:hint="eastAsia"/>
                <w:b/>
                <w:bCs w:val="0"/>
                <w:color w:val="376092" w:themeColor="accent1" w:themeShade="BF"/>
              </w:rPr>
              <w:t>沸石转轮吸附+直燃式燃烧</w:t>
            </w:r>
          </w:p>
        </w:tc>
        <w:tc>
          <w:tcPr>
            <w:tcW w:w="1054" w:type="dxa"/>
          </w:tcPr>
          <w:p>
            <w:pPr>
              <w:pStyle w:val="27"/>
              <w:rPr>
                <w:color w:val="376092" w:themeColor="accent1" w:themeShade="BF"/>
              </w:rPr>
            </w:pPr>
            <w:r>
              <w:rPr>
                <w:rFonts w:hint="eastAsia"/>
                <w:color w:val="376092" w:themeColor="accent1" w:themeShade="BF"/>
              </w:rPr>
              <w:t>&gt;90%</w:t>
            </w:r>
          </w:p>
        </w:tc>
        <w:tc>
          <w:tcPr>
            <w:tcW w:w="836" w:type="dxa"/>
          </w:tcPr>
          <w:p>
            <w:pPr>
              <w:pStyle w:val="27"/>
              <w:rPr>
                <w:color w:val="376092" w:themeColor="accent1" w:themeShade="BF"/>
              </w:rPr>
            </w:pPr>
            <w:r>
              <w:rPr>
                <w:rFonts w:hint="eastAsia"/>
                <w:color w:val="376092" w:themeColor="accent1" w:themeShade="BF"/>
              </w:rPr>
              <w:t>****</w:t>
            </w:r>
          </w:p>
        </w:tc>
        <w:tc>
          <w:tcPr>
            <w:tcW w:w="1040" w:type="dxa"/>
          </w:tcPr>
          <w:p>
            <w:pPr>
              <w:pStyle w:val="27"/>
              <w:rPr>
                <w:color w:val="auto"/>
              </w:rPr>
            </w:pPr>
            <w:r>
              <w:rPr>
                <w:rFonts w:hint="eastAsia"/>
                <w:color w:val="376092" w:themeColor="accent1" w:themeShade="BF"/>
              </w:rPr>
              <w:t>****</w:t>
            </w:r>
          </w:p>
        </w:tc>
        <w:tc>
          <w:tcPr>
            <w:tcW w:w="1167" w:type="dxa"/>
          </w:tcPr>
          <w:p>
            <w:pPr>
              <w:pStyle w:val="27"/>
              <w:rPr>
                <w:color w:val="auto"/>
              </w:rPr>
            </w:pPr>
            <w:r>
              <w:rPr>
                <w:rFonts w:hint="eastAsia"/>
                <w:color w:val="376092" w:themeColor="accent1" w:themeShade="BF"/>
              </w:rPr>
              <w:t>****</w:t>
            </w:r>
          </w:p>
        </w:tc>
        <w:tc>
          <w:tcPr>
            <w:tcW w:w="1092" w:type="dxa"/>
          </w:tcPr>
          <w:p>
            <w:pPr>
              <w:pStyle w:val="27"/>
              <w:rPr>
                <w:color w:val="auto"/>
              </w:rPr>
            </w:pPr>
            <w:r>
              <w:rPr>
                <w:rFonts w:hint="eastAsia"/>
                <w:color w:val="376092" w:themeColor="accent1" w:themeShade="BF"/>
              </w:rPr>
              <w:t>*****</w:t>
            </w:r>
          </w:p>
        </w:tc>
        <w:tc>
          <w:tcPr>
            <w:tcW w:w="732" w:type="dxa"/>
          </w:tcPr>
          <w:p>
            <w:pPr>
              <w:pStyle w:val="27"/>
              <w:rPr>
                <w:color w:val="auto"/>
              </w:rPr>
            </w:pPr>
            <w:r>
              <w:rPr>
                <w:rFonts w:hint="eastAsia"/>
                <w:color w:val="376092" w:themeColor="accent1" w:themeShade="BF"/>
              </w:rPr>
              <w:t>*</w:t>
            </w:r>
          </w:p>
        </w:tc>
        <w:tc>
          <w:tcPr>
            <w:tcW w:w="732" w:type="dxa"/>
          </w:tcPr>
          <w:p>
            <w:pPr>
              <w:pStyle w:val="27"/>
              <w:rPr>
                <w:color w:val="376092" w:themeColor="accent1" w:themeShade="BF"/>
              </w:rPr>
            </w:pPr>
            <w:r>
              <w:rPr>
                <w:rFonts w:hint="eastAsia"/>
                <w:color w:val="376092" w:themeColor="accent1" w:themeShade="BF"/>
              </w:rPr>
              <w:t>****</w:t>
            </w:r>
          </w:p>
        </w:tc>
      </w:tr>
    </w:tbl>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注：*数量越多，代表程度越高</w:t>
      </w:r>
    </w:p>
    <w:p>
      <w:pPr>
        <w:pStyle w:val="23"/>
        <w:spacing w:before="156" w:after="156"/>
        <w:ind w:firstLine="0" w:firstLineChars="0"/>
      </w:pPr>
      <w:bookmarkStart w:id="11" w:name="_Toc14276436"/>
      <w:r>
        <w:rPr>
          <w:rFonts w:hint="eastAsia"/>
        </w:rPr>
        <w:t>4.2包装印刷</w:t>
      </w:r>
      <w:bookmarkEnd w:id="11"/>
    </w:p>
    <w:p>
      <w:pPr>
        <w:pStyle w:val="24"/>
        <w:spacing w:before="156" w:after="156"/>
        <w:ind w:firstLine="0" w:firstLineChars="0"/>
      </w:pPr>
      <w:r>
        <w:rPr>
          <w:rFonts w:hint="eastAsia"/>
        </w:rPr>
        <w:t>4.2.1源头控制</w:t>
      </w:r>
    </w:p>
    <w:p>
      <w:pPr>
        <w:pStyle w:val="25"/>
        <w:ind w:firstLine="0" w:firstLineChars="0"/>
      </w:pPr>
      <w:r>
        <w:rPr>
          <w:rFonts w:hint="eastAsia"/>
        </w:rPr>
        <w:t>4.2.1.1 推广使用清洁环保原辅材料。推广使用水性油墨，单一组分溶剂的油墨；鼓励使用植物基油墨、紫外光固化油墨，承印物清洗、设备洗车时采用低挥发和高沸点的清洗剂（环保洗车水）替代汽油等溶剂，平板印刷企业采用无/低酒精化学溶剂作为润版液（酒精含量不多于5%）。</w:t>
      </w:r>
    </w:p>
    <w:p>
      <w:pPr>
        <w:pStyle w:val="25"/>
        <w:ind w:firstLine="0" w:firstLineChars="0"/>
      </w:pPr>
      <w:r>
        <w:rPr>
          <w:rFonts w:hint="eastAsia"/>
        </w:rPr>
        <w:t>4.2.1.2 印刷行业推广使用无溶剂复合、挤出复合、共挤出复合技术，鼓励采用水性凹印、醇水凹印、辐射固化凹印、柔版印刷、无水胶印等印刷工艺。鼓励使用环保密闭型生产成套装置，如复合工序推广采用水性胶粘剂及无溶剂复合工艺，软包装复合工艺推广无溶剂的预涂膜覆膜技术或氮气保护全紫外光干燥技术等。</w:t>
      </w:r>
    </w:p>
    <w:p>
      <w:pPr>
        <w:pStyle w:val="24"/>
        <w:spacing w:before="156" w:after="156"/>
        <w:ind w:firstLine="0" w:firstLineChars="0"/>
      </w:pPr>
      <w:r>
        <w:rPr>
          <w:rFonts w:hint="eastAsia"/>
        </w:rPr>
        <w:t>4.2.2过程控制</w:t>
      </w:r>
    </w:p>
    <w:p>
      <w:pPr>
        <w:pStyle w:val="25"/>
        <w:ind w:firstLine="0" w:firstLineChars="0"/>
      </w:pPr>
      <w:r>
        <w:rPr>
          <w:rFonts w:hint="eastAsia"/>
        </w:rPr>
        <w:t>4.2.2.1 规范稀释剂、清洗剂储存。鼓励采用储罐集中存放，并采用管道输送。储罐排放的废气须收集、处理后达标排放。</w:t>
      </w:r>
    </w:p>
    <w:p>
      <w:pPr>
        <w:pStyle w:val="25"/>
        <w:ind w:firstLine="0" w:firstLineChars="0"/>
      </w:pPr>
      <w:r>
        <w:rPr>
          <w:rFonts w:hint="eastAsia"/>
        </w:rPr>
        <w:t>4.2.2.2 规范原料调配、转运与使用。鼓励采用中央供墨系统；溶剂型油墨、稀释剂、溶剂型胶水等调配应在独立密闭间内进行，并将废气收集处理；转运过程应采用密闭的盛装容器。</w:t>
      </w:r>
    </w:p>
    <w:p>
      <w:pPr>
        <w:pStyle w:val="24"/>
        <w:spacing w:before="156" w:after="156"/>
        <w:ind w:firstLine="0" w:firstLineChars="0"/>
      </w:pPr>
      <w:r>
        <w:rPr>
          <w:rFonts w:hint="eastAsia"/>
        </w:rPr>
        <w:t>4.2.3废气收集</w:t>
      </w:r>
    </w:p>
    <w:p>
      <w:pPr>
        <w:pStyle w:val="25"/>
        <w:ind w:firstLine="0" w:firstLineChars="0"/>
      </w:pPr>
      <w:r>
        <w:rPr>
          <w:rFonts w:hint="eastAsia"/>
        </w:rPr>
        <w:t>4.2.3.1 包装印刷行业的VOCs废气宜根据工段分别设置废气收集系统，印刷工段和烘干工段推荐采用全面排风收集方式，洗车工段、调墨工段和复合工段推荐采用局部排风收集方式。采用局部排风时使用集气罩，应保持罩口呈微负压状态，且罩内负压均匀,控制风速应保证不小于0.3m/s。</w:t>
      </w:r>
    </w:p>
    <w:p>
      <w:pPr>
        <w:pStyle w:val="25"/>
        <w:ind w:firstLine="0" w:firstLineChars="0"/>
      </w:pPr>
      <w:r>
        <w:rPr>
          <w:rFonts w:hint="eastAsia"/>
        </w:rPr>
        <w:t>4.2.3.2收集系统能与生产设备同步启动，集气方向与污染气流运动方向一致，管路应有明显的颜色区分及走向标识。</w:t>
      </w:r>
    </w:p>
    <w:p>
      <w:pPr>
        <w:pStyle w:val="24"/>
        <w:spacing w:before="156" w:after="156"/>
        <w:ind w:firstLine="0" w:firstLineChars="0"/>
      </w:pPr>
      <w:r>
        <w:rPr>
          <w:rFonts w:hint="eastAsia"/>
        </w:rPr>
        <w:t>4.2.4末端治理</w:t>
      </w:r>
    </w:p>
    <w:p>
      <w:pPr>
        <w:pStyle w:val="24"/>
        <w:spacing w:before="156" w:after="156"/>
        <w:ind w:firstLine="0" w:firstLineChars="0"/>
        <w:outlineLvl w:val="4"/>
      </w:pPr>
      <w:r>
        <w:rPr>
          <w:rFonts w:hint="eastAsia"/>
        </w:rPr>
        <w:t>4.2.4.1印刷行业有机废气处理技术选择原则</w:t>
      </w:r>
    </w:p>
    <w:p>
      <w:pPr>
        <w:pStyle w:val="25"/>
      </w:pPr>
      <w:r>
        <w:rPr>
          <w:rFonts w:hint="eastAsia"/>
        </w:rPr>
        <w:t>由于印刷企业所用油墨种类的不同，导致在有机废气产生的风量、浓度和所含有机物种类存在较大差异。因此有机废气处理工艺的选择必须结合废气的规模、污染物种类和浓度、企业经济状况等实际情况选择适合的处理工艺，总体应该遵循资源回收利用、处理达标、效率稳定、经济实用四个原则。</w:t>
      </w:r>
    </w:p>
    <w:p>
      <w:pPr>
        <w:pStyle w:val="24"/>
        <w:spacing w:before="156" w:after="156"/>
        <w:ind w:firstLine="0" w:firstLineChars="0"/>
        <w:outlineLvl w:val="4"/>
      </w:pPr>
      <w:r>
        <w:t>4.2.4.</w:t>
      </w:r>
      <w:r>
        <w:rPr>
          <w:rFonts w:hint="eastAsia"/>
        </w:rPr>
        <w:t>2印刷行业有机废气处理技术选择基本方法</w:t>
      </w:r>
    </w:p>
    <w:p>
      <w:pPr>
        <w:pStyle w:val="25"/>
      </w:pPr>
      <w:r>
        <w:rPr>
          <w:rFonts w:hint="eastAsia"/>
        </w:rPr>
        <w:t>首先对企业产生的有机废气的工段进行分析，并对产生气量和浓度进行测量，作为处理工艺选择的基础资料。</w:t>
      </w:r>
    </w:p>
    <w:p>
      <w:pPr>
        <w:pStyle w:val="25"/>
      </w:pPr>
      <w:r>
        <w:rPr>
          <w:rFonts w:hint="eastAsia"/>
        </w:rPr>
        <w:t>由《印刷行业挥发性有机化合物排放标准》（DB44/815），确定经过处理后有机废气的排放浓度，再根据测量的浓度，计算有机废气处理工艺需要达到的处理效率，将可达到该处理效率的处理工艺作为备选。其次，以适宜温度范围作为条件，筛选已得到的有机废气处理工艺。再根据企业的经济状况，筛选建设成本和运行成本、自动化程度都适宜的有机废气工艺。</w:t>
      </w:r>
    </w:p>
    <w:p>
      <w:pPr>
        <w:pStyle w:val="24"/>
        <w:spacing w:before="156" w:after="156"/>
        <w:ind w:firstLine="0" w:firstLineChars="0"/>
        <w:outlineLvl w:val="4"/>
      </w:pPr>
      <w:r>
        <w:t>4.2.4.</w:t>
      </w:r>
      <w:r>
        <w:rPr>
          <w:rFonts w:hint="eastAsia"/>
        </w:rPr>
        <w:t>3 印刷行业有机废气预处理技术</w:t>
      </w:r>
    </w:p>
    <w:p>
      <w:pPr>
        <w:pStyle w:val="25"/>
      </w:pPr>
      <w:r>
        <w:rPr>
          <w:rFonts w:hint="eastAsia"/>
        </w:rPr>
        <w:t>在大多数情况下，有机废气处理之前要进行预处理。预处理一般包括：除去颗粒物、油雾、催化剂毒物及难脱附的气态污染物等，并调节气体温度、湿度、浓度和压力等以满足后续处理工艺要求。颗粒物、油雾、催化剂毒物及难脱附的气态污染物和气体湿度过大均会导致堵塞吸附剂微孔，降低吸附容量，因此在进入吸附床层之前应尽可能的除去。进入吸附系统的废气温度一般应低于40℃。颗粒物的去除宜采用过滤及洗涤等方法，保证进入后续处理装置的废气中颗粒物浓度低于1mg/m</w:t>
      </w:r>
      <w:r>
        <w:rPr>
          <w:rFonts w:hint="eastAsia"/>
          <w:vertAlign w:val="superscript"/>
        </w:rPr>
        <w:t>3</w:t>
      </w:r>
      <w:r>
        <w:rPr>
          <w:rFonts w:hint="eastAsia"/>
        </w:rPr>
        <w:t>。同时，进入吸附系统的易燃、易爆有机废气浓度应控制在其爆炸极限下限的25%以下。对于含有混合有机化合物的废气，其控制浓度P应低于最易爆炸组分或混合气体爆炸极限下限值的25%，即P＜min（Pe，Pm）×25%，Pe为最易爆炸组分极限下限值（%），Pm为混合气体爆炸极限下限值（%），Pm按照下式进行计算：</w:t>
      </w:r>
    </w:p>
    <w:p>
      <w:pPr>
        <w:pStyle w:val="25"/>
      </w:pPr>
      <w:r>
        <w:rPr>
          <w:rFonts w:hint="eastAsia"/>
        </w:rPr>
        <w:t>Pm=（P1+P2+…+Pn）/（V1/P1+V2/P2+…+Vn/Pn）</w:t>
      </w:r>
    </w:p>
    <w:p>
      <w:pPr>
        <w:pStyle w:val="25"/>
      </w:pPr>
      <w:r>
        <w:rPr>
          <w:rFonts w:hint="eastAsia"/>
        </w:rPr>
        <w:t>式中：</w:t>
      </w:r>
    </w:p>
    <w:p>
      <w:pPr>
        <w:pStyle w:val="25"/>
      </w:pPr>
      <w:r>
        <w:rPr>
          <w:rFonts w:hint="eastAsia"/>
        </w:rPr>
        <w:t>Pm——混合气体爆炸极限下限值，%；</w:t>
      </w:r>
    </w:p>
    <w:p>
      <w:pPr>
        <w:pStyle w:val="25"/>
      </w:pPr>
      <w:r>
        <w:rPr>
          <w:rFonts w:hint="eastAsia"/>
        </w:rPr>
        <w:t>P1，P2，…，Pn——混合气体中各组分的爆炸极限下限值，%；</w:t>
      </w:r>
    </w:p>
    <w:p>
      <w:pPr>
        <w:pStyle w:val="25"/>
      </w:pPr>
      <w:r>
        <w:rPr>
          <w:rFonts w:hint="eastAsia"/>
        </w:rPr>
        <w:t>V1，V2，…，Vn——混合气体中各组分所占的体积百分数，%；</w:t>
      </w:r>
    </w:p>
    <w:p>
      <w:pPr>
        <w:pStyle w:val="25"/>
      </w:pPr>
      <w:r>
        <w:rPr>
          <w:rFonts w:hint="eastAsia"/>
        </w:rPr>
        <w:t>n——混合有机废气中所含有机化合物的种类数量。</w:t>
      </w:r>
    </w:p>
    <w:p>
      <w:pPr>
        <w:pStyle w:val="25"/>
      </w:pPr>
      <w:r>
        <w:rPr>
          <w:rFonts w:hint="eastAsia"/>
        </w:rPr>
        <w:t>表5列出了部分适用于印刷企业开展有机废气治理的预处理技术，并简要列出了使用的作用，供企业在选择VOCs治理技术时参考使用，企业可根据废气的性质选择一种或多种预处理工艺串联使用。</w:t>
      </w:r>
    </w:p>
    <w:p>
      <w:pPr>
        <w:pStyle w:val="25"/>
      </w:pPr>
    </w:p>
    <w:p>
      <w:pPr>
        <w:pStyle w:val="26"/>
      </w:pPr>
      <w:r>
        <w:t>表</w:t>
      </w:r>
      <w:r>
        <w:rPr>
          <w:rFonts w:hint="eastAsia"/>
        </w:rPr>
        <w:t>5 印刷行业有机废气预处理工艺</w:t>
      </w:r>
    </w:p>
    <w:tbl>
      <w:tblPr>
        <w:tblStyle w:val="14"/>
        <w:tblW w:w="8522" w:type="dxa"/>
        <w:jc w:val="center"/>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72"/>
        <w:gridCol w:w="4750"/>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772" w:type="dxa"/>
            <w:tcBorders>
              <w:top w:val="single" w:color="4F81BD" w:themeColor="accent1" w:sz="8" w:space="0"/>
              <w:left w:val="nil"/>
              <w:bottom w:val="single" w:color="4F81BD" w:themeColor="accent1" w:sz="8" w:space="0"/>
              <w:right w:val="nil"/>
              <w:insideH w:val="single" w:sz="8" w:space="0"/>
              <w:insideV w:val="nil"/>
            </w:tcBorders>
          </w:tcPr>
          <w:p>
            <w:pPr>
              <w:pStyle w:val="27"/>
              <w:spacing w:before="0" w:after="0"/>
              <w:rPr>
                <w:b/>
                <w:bCs w:val="0"/>
                <w:color w:val="auto"/>
                <w:sz w:val="24"/>
                <w:szCs w:val="24"/>
              </w:rPr>
            </w:pPr>
            <w:r>
              <w:rPr>
                <w:rFonts w:hint="eastAsia"/>
                <w:b/>
                <w:bCs w:val="0"/>
                <w:color w:val="auto"/>
                <w:sz w:val="24"/>
                <w:szCs w:val="24"/>
              </w:rPr>
              <w:t>预处理工艺</w:t>
            </w:r>
          </w:p>
        </w:tc>
        <w:tc>
          <w:tcPr>
            <w:tcW w:w="4750"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auto"/>
                <w:sz w:val="24"/>
                <w:szCs w:val="24"/>
              </w:rPr>
            </w:pPr>
            <w:r>
              <w:rPr>
                <w:rFonts w:hint="eastAsia"/>
                <w:b/>
                <w:bCs w:val="0"/>
                <w:color w:val="auto"/>
                <w:sz w:val="24"/>
                <w:szCs w:val="24"/>
              </w:rPr>
              <w:t>目的及作用</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772" w:type="dxa"/>
            <w:tcBorders>
              <w:left w:val="nil"/>
              <w:right w:val="nil"/>
            </w:tcBorders>
            <w:shd w:val="clear" w:color="auto" w:fill="D3DFEE" w:themeFill="accent1" w:themeFillTint="3F"/>
          </w:tcPr>
          <w:p>
            <w:pPr>
              <w:pStyle w:val="27"/>
              <w:rPr>
                <w:b/>
                <w:bCs w:val="0"/>
                <w:color w:val="auto"/>
                <w:sz w:val="24"/>
                <w:szCs w:val="24"/>
              </w:rPr>
            </w:pPr>
            <w:r>
              <w:rPr>
                <w:rFonts w:hint="eastAsia"/>
                <w:b/>
                <w:bCs w:val="0"/>
                <w:color w:val="auto"/>
                <w:sz w:val="24"/>
                <w:szCs w:val="24"/>
              </w:rPr>
              <w:t>冷却</w:t>
            </w:r>
          </w:p>
        </w:tc>
        <w:tc>
          <w:tcPr>
            <w:tcW w:w="4750" w:type="dxa"/>
            <w:tcBorders>
              <w:right w:val="nil"/>
            </w:tcBorders>
            <w:shd w:val="clear" w:color="auto" w:fill="D3DFEE" w:themeFill="accent1" w:themeFillTint="3F"/>
          </w:tcPr>
          <w:p>
            <w:pPr>
              <w:pStyle w:val="27"/>
              <w:rPr>
                <w:color w:val="auto"/>
                <w:sz w:val="24"/>
                <w:szCs w:val="24"/>
              </w:rPr>
            </w:pPr>
            <w:r>
              <w:rPr>
                <w:rFonts w:hint="eastAsia"/>
                <w:color w:val="auto"/>
                <w:sz w:val="24"/>
                <w:szCs w:val="24"/>
              </w:rPr>
              <w:t>降温</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772" w:type="dxa"/>
          </w:tcPr>
          <w:p>
            <w:pPr>
              <w:pStyle w:val="27"/>
              <w:rPr>
                <w:b/>
                <w:bCs w:val="0"/>
                <w:color w:val="auto"/>
                <w:sz w:val="24"/>
                <w:szCs w:val="24"/>
              </w:rPr>
            </w:pPr>
            <w:r>
              <w:rPr>
                <w:rFonts w:hint="eastAsia"/>
                <w:b/>
                <w:bCs w:val="0"/>
                <w:color w:val="auto"/>
                <w:sz w:val="24"/>
                <w:szCs w:val="24"/>
              </w:rPr>
              <w:t>过滤</w:t>
            </w:r>
          </w:p>
        </w:tc>
        <w:tc>
          <w:tcPr>
            <w:tcW w:w="4750" w:type="dxa"/>
          </w:tcPr>
          <w:p>
            <w:pPr>
              <w:pStyle w:val="27"/>
              <w:rPr>
                <w:color w:val="auto"/>
                <w:sz w:val="24"/>
                <w:szCs w:val="24"/>
              </w:rPr>
            </w:pPr>
            <w:r>
              <w:rPr>
                <w:rFonts w:hint="eastAsia"/>
                <w:color w:val="auto"/>
                <w:sz w:val="24"/>
                <w:szCs w:val="24"/>
              </w:rPr>
              <w:t>去除油雾及水分</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772" w:type="dxa"/>
            <w:tcBorders>
              <w:left w:val="nil"/>
              <w:right w:val="nil"/>
            </w:tcBorders>
            <w:shd w:val="clear" w:color="auto" w:fill="D3DFEE" w:themeFill="accent1" w:themeFillTint="3F"/>
          </w:tcPr>
          <w:p>
            <w:pPr>
              <w:pStyle w:val="27"/>
              <w:rPr>
                <w:b/>
                <w:bCs w:val="0"/>
                <w:color w:val="auto"/>
                <w:sz w:val="24"/>
                <w:szCs w:val="24"/>
              </w:rPr>
            </w:pPr>
            <w:r>
              <w:rPr>
                <w:rFonts w:hint="eastAsia"/>
                <w:b/>
                <w:bCs w:val="0"/>
                <w:color w:val="auto"/>
                <w:sz w:val="24"/>
                <w:szCs w:val="24"/>
              </w:rPr>
              <w:t>洗涤</w:t>
            </w:r>
          </w:p>
        </w:tc>
        <w:tc>
          <w:tcPr>
            <w:tcW w:w="4750" w:type="dxa"/>
            <w:tcBorders>
              <w:right w:val="nil"/>
            </w:tcBorders>
            <w:shd w:val="clear" w:color="auto" w:fill="D3DFEE" w:themeFill="accent1" w:themeFillTint="3F"/>
          </w:tcPr>
          <w:p>
            <w:pPr>
              <w:pStyle w:val="27"/>
              <w:rPr>
                <w:color w:val="auto"/>
                <w:sz w:val="24"/>
                <w:szCs w:val="24"/>
              </w:rPr>
            </w:pPr>
            <w:r>
              <w:rPr>
                <w:rFonts w:hint="eastAsia"/>
                <w:color w:val="auto"/>
                <w:sz w:val="24"/>
                <w:szCs w:val="24"/>
              </w:rPr>
              <w:t>去除油雾及颗粒物</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772" w:type="dxa"/>
          </w:tcPr>
          <w:p>
            <w:pPr>
              <w:pStyle w:val="27"/>
              <w:rPr>
                <w:b/>
                <w:bCs w:val="0"/>
                <w:color w:val="auto"/>
                <w:sz w:val="24"/>
                <w:szCs w:val="24"/>
              </w:rPr>
            </w:pPr>
            <w:r>
              <w:rPr>
                <w:rFonts w:hint="eastAsia"/>
                <w:b/>
                <w:bCs w:val="0"/>
                <w:color w:val="auto"/>
                <w:sz w:val="24"/>
                <w:szCs w:val="24"/>
              </w:rPr>
              <w:t>喷淋</w:t>
            </w:r>
          </w:p>
        </w:tc>
        <w:tc>
          <w:tcPr>
            <w:tcW w:w="4750" w:type="dxa"/>
          </w:tcPr>
          <w:p>
            <w:pPr>
              <w:pStyle w:val="27"/>
              <w:rPr>
                <w:color w:val="auto"/>
                <w:sz w:val="24"/>
                <w:szCs w:val="24"/>
              </w:rPr>
            </w:pPr>
            <w:r>
              <w:rPr>
                <w:rFonts w:hint="eastAsia"/>
                <w:color w:val="auto"/>
                <w:sz w:val="24"/>
                <w:szCs w:val="24"/>
              </w:rPr>
              <w:t>却除颗粒物及催化剂毒物</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772" w:type="dxa"/>
            <w:tcBorders>
              <w:left w:val="nil"/>
              <w:right w:val="nil"/>
            </w:tcBorders>
            <w:shd w:val="clear" w:color="auto" w:fill="D3DFEE" w:themeFill="accent1" w:themeFillTint="3F"/>
          </w:tcPr>
          <w:p>
            <w:pPr>
              <w:pStyle w:val="27"/>
              <w:rPr>
                <w:b/>
                <w:bCs w:val="0"/>
                <w:color w:val="auto"/>
                <w:sz w:val="24"/>
                <w:szCs w:val="24"/>
              </w:rPr>
            </w:pPr>
            <w:r>
              <w:rPr>
                <w:rFonts w:hint="eastAsia"/>
                <w:b/>
                <w:bCs w:val="0"/>
                <w:color w:val="auto"/>
                <w:sz w:val="24"/>
                <w:szCs w:val="24"/>
              </w:rPr>
              <w:t>吸收</w:t>
            </w:r>
          </w:p>
        </w:tc>
        <w:tc>
          <w:tcPr>
            <w:tcW w:w="4750" w:type="dxa"/>
            <w:tcBorders>
              <w:right w:val="nil"/>
            </w:tcBorders>
            <w:shd w:val="clear" w:color="auto" w:fill="D3DFEE" w:themeFill="accent1" w:themeFillTint="3F"/>
          </w:tcPr>
          <w:p>
            <w:pPr>
              <w:pStyle w:val="27"/>
              <w:rPr>
                <w:color w:val="auto"/>
                <w:sz w:val="24"/>
                <w:szCs w:val="24"/>
              </w:rPr>
            </w:pPr>
            <w:r>
              <w:rPr>
                <w:rFonts w:hint="eastAsia"/>
                <w:color w:val="auto"/>
                <w:sz w:val="24"/>
                <w:szCs w:val="24"/>
              </w:rPr>
              <w:t>催化剂毒物</w:t>
            </w:r>
          </w:p>
        </w:tc>
      </w:tr>
    </w:tbl>
    <w:p>
      <w:pPr>
        <w:pStyle w:val="25"/>
      </w:pPr>
    </w:p>
    <w:p>
      <w:pPr>
        <w:pStyle w:val="24"/>
        <w:spacing w:before="156" w:after="156"/>
        <w:ind w:firstLine="0" w:firstLineChars="0"/>
        <w:outlineLvl w:val="4"/>
      </w:pPr>
      <w:r>
        <w:rPr>
          <w:rFonts w:hint="eastAsia"/>
        </w:rPr>
        <w:t>4.2.4.4 印刷行业有机废气治理技术</w:t>
      </w:r>
    </w:p>
    <w:p>
      <w:pPr>
        <w:pStyle w:val="25"/>
      </w:pPr>
      <w:r>
        <w:rPr>
          <w:rFonts w:hint="eastAsia"/>
        </w:rPr>
        <w:t>1、吸附</w:t>
      </w:r>
    </w:p>
    <w:p>
      <w:pPr>
        <w:pStyle w:val="25"/>
      </w:pPr>
      <w:r>
        <w:rPr>
          <w:rFonts w:hint="eastAsia"/>
        </w:rPr>
        <w:t>吸附浓缩技术是利用各种固体吸附剂（如活性炭（包括活性炭纤维）、分子筛、活性氧化铝和硅胶等）对排放废气中的VOCs进行吸附浓缩，同时达到净化废气的目的。吸附工艺主要分为吸附段和脱附段。</w:t>
      </w:r>
    </w:p>
    <w:p>
      <w:pPr>
        <w:pStyle w:val="25"/>
      </w:pPr>
      <w:r>
        <w:rPr>
          <w:rFonts w:hint="eastAsia"/>
        </w:rPr>
        <w:t>吸附段主要注意事项：</w:t>
      </w:r>
    </w:p>
    <w:p>
      <w:pPr>
        <w:pStyle w:val="25"/>
      </w:pPr>
      <w:r>
        <w:rPr>
          <w:rFonts w:hint="eastAsia"/>
        </w:rPr>
        <w:t>（1）对中低浓度VOCs的净化（一般在&lt;1000mg/m</w:t>
      </w:r>
      <w:r>
        <w:rPr>
          <w:rFonts w:hint="eastAsia"/>
          <w:vertAlign w:val="superscript"/>
        </w:rPr>
        <w:t>3</w:t>
      </w:r>
      <w:r>
        <w:rPr>
          <w:rFonts w:hint="eastAsia"/>
        </w:rPr>
        <w:t>）净化效率能达到30%-50%，由于效率较低，一般与其他处理工艺串联使用。</w:t>
      </w:r>
    </w:p>
    <w:p>
      <w:pPr>
        <w:pStyle w:val="25"/>
      </w:pPr>
      <w:r>
        <w:rPr>
          <w:rFonts w:hint="eastAsia"/>
        </w:rPr>
        <w:t>（2）在不施用深冷、高压的手段下，可以有效回收有价值的有机物组分。</w:t>
      </w:r>
    </w:p>
    <w:p>
      <w:pPr>
        <w:pStyle w:val="25"/>
      </w:pPr>
      <w:r>
        <w:rPr>
          <w:rFonts w:hint="eastAsia"/>
        </w:rPr>
        <w:t>（3）吸附剂应选择具有大比表面和孔隙率的；具有良好选择性的；吸附能力强，吸附容量大的；易于再生；机械强度；化学稳定性；热稳定性好；使用寿命长的。</w:t>
      </w:r>
    </w:p>
    <w:p>
      <w:pPr>
        <w:pStyle w:val="25"/>
      </w:pPr>
      <w:r>
        <w:rPr>
          <w:rFonts w:hint="eastAsia"/>
        </w:rPr>
        <w:t>（4）活性炭装填时应先筛去碎粒与粉尘。然后层层均匀铺开，不得直接倒入，以免使大小颗粒装填不均，最终造成气体偏流，影响使用效果。</w:t>
      </w:r>
    </w:p>
    <w:p>
      <w:pPr>
        <w:pStyle w:val="25"/>
      </w:pPr>
      <w:r>
        <w:rPr>
          <w:rFonts w:hint="eastAsia"/>
        </w:rPr>
        <w:t>（5）更换填料或运行维护过程中产生的固体废物需要有明确的处理处置管理办法规范管理，将其作为危险废物处理，需交由有资质的危险废物处理公司处理，应有规范的危险废物转移记录。</w:t>
      </w:r>
    </w:p>
    <w:p>
      <w:pPr>
        <w:pStyle w:val="25"/>
      </w:pPr>
      <w:r>
        <w:rPr>
          <w:rFonts w:hint="eastAsia"/>
        </w:rPr>
        <w:t xml:space="preserve">（6）固定床吸附器应符合《环境保护产品技术要求工业废气吸附净化装置》（HJ/T386）的规定。吸附层的风速应根据吸附剂的材质、结构和性能共同确定；采用颗粒状活性炭时，宜取0.20-0.60m/s，采用蜂窝状活性炭时，宜取0.70-1.20m/s。对于废气浓度特别低或有特殊要求的场合，风速可适当增加。 </w:t>
      </w:r>
    </w:p>
    <w:p>
      <w:pPr>
        <w:pStyle w:val="25"/>
      </w:pPr>
      <w:r>
        <w:rPr>
          <w:rFonts w:hint="eastAsia"/>
        </w:rPr>
        <w:t>（7）吸附装置用于处理易燃、易爆气体时，应符合安全生产及事故防范的相关要求。除控制处理气体的浓度外，在管道系统的适当位置，应安装符合《石油气体管道阻火器》（GB/T13347）规定的阻火装置。接地电阻应小于2Ω。</w:t>
      </w:r>
    </w:p>
    <w:p>
      <w:pPr>
        <w:pStyle w:val="25"/>
      </w:pPr>
      <w:r>
        <w:rPr>
          <w:rFonts w:hint="eastAsia"/>
        </w:rPr>
        <w:t>脱附段主要注意事项：</w:t>
      </w:r>
    </w:p>
    <w:p>
      <w:pPr>
        <w:pStyle w:val="25"/>
      </w:pPr>
      <w:r>
        <w:rPr>
          <w:rFonts w:hint="eastAsia"/>
        </w:rPr>
        <w:t>（1）脱附操作可采用升温、降压、置换、吹扫和化学转化等脱附方式或几种方式的组合。</w:t>
      </w:r>
    </w:p>
    <w:p>
      <w:pPr>
        <w:pStyle w:val="25"/>
      </w:pPr>
      <w:r>
        <w:rPr>
          <w:rFonts w:hint="eastAsia"/>
        </w:rPr>
        <w:t>（2）脱附气源可采用热空气、热烟气和低压水蒸气。</w:t>
      </w:r>
    </w:p>
    <w:p>
      <w:pPr>
        <w:pStyle w:val="25"/>
      </w:pPr>
      <w:r>
        <w:rPr>
          <w:rFonts w:hint="eastAsia"/>
        </w:rPr>
        <w:t>（3）当回收脱附产物时，应保证脱附后气体达到设计要求的冷却水平。</w:t>
      </w:r>
    </w:p>
    <w:p>
      <w:pPr>
        <w:pStyle w:val="25"/>
      </w:pPr>
      <w:r>
        <w:rPr>
          <w:rFonts w:hint="eastAsia"/>
        </w:rPr>
        <w:t>（4）有机溶剂的脱附宜选用水蒸气和热空气，当回收的有机溶剂沸点较低时，冷凝水宜使用低温水；对不溶于水的有机溶剂冷凝后直接回收，对溶于水的有机溶剂应进一步分离回收。</w:t>
      </w:r>
    </w:p>
    <w:p>
      <w:pPr>
        <w:pStyle w:val="25"/>
      </w:pPr>
      <w:r>
        <w:rPr>
          <w:rFonts w:hint="eastAsia"/>
        </w:rPr>
        <w:t>（5）采用活性炭作为吸附剂时，脱附气体的温度宜控制在120℃以下。</w:t>
      </w:r>
    </w:p>
    <w:p>
      <w:pPr>
        <w:pStyle w:val="25"/>
      </w:pPr>
      <w:r>
        <w:rPr>
          <w:rFonts w:hint="eastAsia"/>
        </w:rPr>
        <w:t>2、生物净化</w:t>
      </w:r>
    </w:p>
    <w:p>
      <w:pPr>
        <w:pStyle w:val="25"/>
      </w:pPr>
      <w:r>
        <w:rPr>
          <w:rFonts w:hint="eastAsia"/>
        </w:rPr>
        <w:t>通过附着在反应器内填料上的微生物的新陈代谢作用将有机废气中的污染物转化为简单的无机物（CO</w:t>
      </w:r>
      <w:r>
        <w:rPr>
          <w:rFonts w:hint="eastAsia"/>
          <w:vertAlign w:val="subscript"/>
        </w:rPr>
        <w:t>2</w:t>
      </w:r>
      <w:r>
        <w:rPr>
          <w:rFonts w:hint="eastAsia"/>
        </w:rPr>
        <w:t>、H</w:t>
      </w:r>
      <w:r>
        <w:rPr>
          <w:rFonts w:hint="eastAsia"/>
          <w:vertAlign w:val="subscript"/>
        </w:rPr>
        <w:t>2</w:t>
      </w:r>
      <w:r>
        <w:rPr>
          <w:rFonts w:hint="eastAsia"/>
        </w:rPr>
        <w:t>O和SO</w:t>
      </w:r>
      <w:r>
        <w:rPr>
          <w:rFonts w:hint="eastAsia"/>
          <w:vertAlign w:val="subscript"/>
        </w:rPr>
        <w:t>2</w:t>
      </w:r>
      <w:r>
        <w:rPr>
          <w:rFonts w:hint="eastAsia"/>
        </w:rPr>
        <w:t>等）和微生物。</w:t>
      </w:r>
    </w:p>
    <w:p>
      <w:pPr>
        <w:pStyle w:val="25"/>
      </w:pPr>
      <w:r>
        <w:rPr>
          <w:rFonts w:hint="eastAsia"/>
        </w:rPr>
        <w:t>使用生物净化时，应注意：</w:t>
      </w:r>
    </w:p>
    <w:p>
      <w:pPr>
        <w:pStyle w:val="25"/>
      </w:pPr>
      <w:r>
        <w:rPr>
          <w:rFonts w:hint="eastAsia"/>
        </w:rPr>
        <w:t>（1）生物法适合处理“高水溶性+易生物降解”的VOCs，去除效率能达到30%-50%，对其余类型的VOCs处理效果较差，生物法处理效果从大到小依次为醇类、酯类、苯系物&gt;醛、酮、卤代烃&gt;小分子烯烃、烷烃。</w:t>
      </w:r>
    </w:p>
    <w:p>
      <w:pPr>
        <w:pStyle w:val="25"/>
      </w:pPr>
      <w:r>
        <w:rPr>
          <w:rFonts w:hint="eastAsia"/>
        </w:rPr>
        <w:t>（2）主要应用于中低浓度（一般在&lt;1000mg/m</w:t>
      </w:r>
      <w:r>
        <w:rPr>
          <w:rFonts w:hint="eastAsia"/>
          <w:vertAlign w:val="superscript"/>
        </w:rPr>
        <w:t>3</w:t>
      </w:r>
      <w:r>
        <w:rPr>
          <w:rFonts w:hint="eastAsia"/>
        </w:rPr>
        <w:t>）有机废气的处理；风量较大的情况下，其处理的浓度更低（一般在&lt;200mg/m</w:t>
      </w:r>
      <w:r>
        <w:rPr>
          <w:rFonts w:hint="eastAsia"/>
          <w:vertAlign w:val="superscript"/>
        </w:rPr>
        <w:t>3</w:t>
      </w:r>
      <w:r>
        <w:rPr>
          <w:rFonts w:hint="eastAsia"/>
        </w:rPr>
        <w:t>）。</w:t>
      </w:r>
    </w:p>
    <w:p>
      <w:pPr>
        <w:pStyle w:val="25"/>
      </w:pPr>
      <w:r>
        <w:rPr>
          <w:rFonts w:hint="eastAsia"/>
        </w:rPr>
        <w:t>（3）微生物的筛选和挂膜的时间较长。</w:t>
      </w:r>
    </w:p>
    <w:p>
      <w:pPr>
        <w:pStyle w:val="25"/>
      </w:pPr>
      <w:r>
        <w:rPr>
          <w:rFonts w:hint="eastAsia"/>
        </w:rPr>
        <w:t>（4）要通过有效预处理和合理管理，尽量降低填料堵塞带来的影响。</w:t>
      </w:r>
    </w:p>
    <w:p>
      <w:pPr>
        <w:pStyle w:val="25"/>
      </w:pPr>
      <w:r>
        <w:rPr>
          <w:rFonts w:hint="eastAsia"/>
        </w:rPr>
        <w:t>（5）更换填料或是运行维护过程中产生的固体废物或废水需要有明确的处理处置管理办法规范管理，若作为危险废物处理，需交由有资质的危险废物处理公司处理，应有规范的危险废物转移记录。</w:t>
      </w:r>
    </w:p>
    <w:p>
      <w:pPr>
        <w:pStyle w:val="25"/>
      </w:pPr>
      <w:r>
        <w:rPr>
          <w:rFonts w:hint="eastAsia"/>
        </w:rPr>
        <w:t>3、直接燃烧</w:t>
      </w:r>
    </w:p>
    <w:p>
      <w:pPr>
        <w:pStyle w:val="25"/>
      </w:pPr>
      <w:r>
        <w:rPr>
          <w:rFonts w:hint="eastAsia"/>
        </w:rPr>
        <w:t>燃烧分为常规直接燃烧（TO）和蓄热式燃烧（RTO）。是利用辅助燃料燃烧所发生热量，把可燃的有害气体的温度提高到700-900℃的反应温度，从而发生氧化分解。由于燃烧焚烧炉可于较短时间内达到在线状态，非常适合用于高浓度废气及间歇性批式排放工艺。RTO处理系统中加温和氧化分解产生的热能利用具有高热容量的陶瓷蓄热体作为蓄热系统，实现换热效率达到90%以上的节能效果。</w:t>
      </w:r>
    </w:p>
    <w:p>
      <w:pPr>
        <w:pStyle w:val="25"/>
      </w:pPr>
      <w:r>
        <w:rPr>
          <w:rFonts w:hint="eastAsia"/>
        </w:rPr>
        <w:t>使用燃烧时，应注意：</w:t>
      </w:r>
    </w:p>
    <w:p>
      <w:pPr>
        <w:pStyle w:val="25"/>
      </w:pPr>
      <w:r>
        <w:rPr>
          <w:rFonts w:hint="eastAsia"/>
        </w:rPr>
        <w:t>（1）处理净化效率高，能达到90%以上，连续运行稳定，技术成熟且安全可靠、操作维护简单，使用寿命长。</w:t>
      </w:r>
    </w:p>
    <w:p>
      <w:pPr>
        <w:pStyle w:val="25"/>
      </w:pPr>
      <w:r>
        <w:rPr>
          <w:rFonts w:hint="eastAsia"/>
        </w:rPr>
        <w:t>（2）一次性投资成本高，运行成本较高；</w:t>
      </w:r>
    </w:p>
    <w:p>
      <w:pPr>
        <w:pStyle w:val="25"/>
      </w:pPr>
      <w:r>
        <w:rPr>
          <w:rFonts w:hint="eastAsia"/>
        </w:rPr>
        <w:t>（3）严格控制进口有机物的浓度，使其入口浓度必须远低于爆炸下限，控制在一个安全的水平。</w:t>
      </w:r>
    </w:p>
    <w:p>
      <w:pPr>
        <w:pStyle w:val="25"/>
      </w:pPr>
      <w:r>
        <w:rPr>
          <w:rFonts w:hint="eastAsia"/>
        </w:rPr>
        <w:t>（4）不适宜处理小于8000m</w:t>
      </w:r>
      <w:r>
        <w:rPr>
          <w:rFonts w:hint="eastAsia"/>
          <w:vertAlign w:val="superscript"/>
        </w:rPr>
        <w:t>3</w:t>
      </w:r>
      <w:r>
        <w:rPr>
          <w:rFonts w:hint="eastAsia"/>
        </w:rPr>
        <w:t>/h以下风量的废气，对含有机硅成分较多的废气容易造成蓄热体堵塞，更换蓄热材料费用较高；</w:t>
      </w:r>
    </w:p>
    <w:p>
      <w:pPr>
        <w:pStyle w:val="25"/>
      </w:pPr>
      <w:r>
        <w:rPr>
          <w:rFonts w:hint="eastAsia"/>
        </w:rPr>
        <w:t>4、催化燃烧</w:t>
      </w:r>
    </w:p>
    <w:p>
      <w:pPr>
        <w:pStyle w:val="25"/>
      </w:pPr>
      <w:r>
        <w:rPr>
          <w:rFonts w:hint="eastAsia"/>
        </w:rPr>
        <w:t>催化燃烧分为常规催化燃烧（CO）和蓄热式催化燃烧（RCO）。利用结合在高热容量陶瓷蓄热体上的催化剂，使有机气体在300~400℃的较低温度下，氧化为水和二氧化碳。RCO处理系统加热和氧化产生的热量被蓄热体储存并用以加热待处理废气，以提高换热效率。</w:t>
      </w:r>
    </w:p>
    <w:p>
      <w:pPr>
        <w:pStyle w:val="25"/>
      </w:pPr>
      <w:r>
        <w:rPr>
          <w:rFonts w:hint="eastAsia"/>
        </w:rPr>
        <w:t>使用蓄热催化燃烧时，应注意：</w:t>
      </w:r>
    </w:p>
    <w:p>
      <w:pPr>
        <w:pStyle w:val="25"/>
      </w:pPr>
      <w:r>
        <w:rPr>
          <w:rFonts w:hint="eastAsia"/>
        </w:rPr>
        <w:t>（1）处理净化效率较高，能达到90%以上，比蓄热式燃烧节约25％～40％运行费用，其热回收效率可达90%以上；很少产生NO</w:t>
      </w:r>
      <w:r>
        <w:rPr>
          <w:rFonts w:hint="eastAsia"/>
          <w:vertAlign w:val="subscript"/>
        </w:rPr>
        <w:t>X</w:t>
      </w:r>
      <w:r>
        <w:rPr>
          <w:rFonts w:hint="eastAsia"/>
        </w:rPr>
        <w:t>和SO</w:t>
      </w:r>
      <w:r>
        <w:rPr>
          <w:rFonts w:hint="eastAsia"/>
          <w:vertAlign w:val="subscript"/>
        </w:rPr>
        <w:t>X</w:t>
      </w:r>
      <w:r>
        <w:rPr>
          <w:rFonts w:hint="eastAsia"/>
        </w:rPr>
        <w:t>，不受水汽含量影响。</w:t>
      </w:r>
    </w:p>
    <w:p>
      <w:pPr>
        <w:pStyle w:val="25"/>
      </w:pPr>
      <w:r>
        <w:rPr>
          <w:rFonts w:hint="eastAsia"/>
        </w:rPr>
        <w:t>（2）催化剂的选择需要与处理对象相吻合，处理成分复杂的废气时效果不理想；</w:t>
      </w:r>
    </w:p>
    <w:p>
      <w:pPr>
        <w:pStyle w:val="25"/>
      </w:pPr>
      <w:r>
        <w:rPr>
          <w:rFonts w:hint="eastAsia"/>
        </w:rPr>
        <w:t>（3）催化剂的工作温度应低于700℃，并能够承受900℃短时间的高温冲击，设计工况下催化剂使用寿命应大于8500h。</w:t>
      </w:r>
    </w:p>
    <w:p>
      <w:pPr>
        <w:pStyle w:val="25"/>
      </w:pPr>
      <w:r>
        <w:rPr>
          <w:rFonts w:hint="eastAsia"/>
        </w:rPr>
        <w:t>（4）设计工况下蓄热式催化燃烧装置中蓄热体的使用寿命应大于24000h。</w:t>
      </w:r>
    </w:p>
    <w:p>
      <w:pPr>
        <w:pStyle w:val="25"/>
      </w:pPr>
      <w:r>
        <w:rPr>
          <w:rFonts w:hint="eastAsia"/>
        </w:rPr>
        <w:t>（5）催化燃烧装置预热室的预热温度宜控制在250-350℃，不宜超过400℃。</w:t>
      </w:r>
    </w:p>
    <w:p>
      <w:pPr>
        <w:pStyle w:val="25"/>
      </w:pPr>
      <w:r>
        <w:rPr>
          <w:rFonts w:hint="eastAsia"/>
        </w:rPr>
        <w:t>（6）催化剂床层的设计空速应考虑催化剂的种类、载体的型式、废气的组分等因素，宜大于10000</w:t>
      </w:r>
      <w:r>
        <w:t>/h</w:t>
      </w:r>
      <w:r>
        <w:rPr>
          <w:rFonts w:hint="eastAsia"/>
        </w:rPr>
        <w:t>，但不宜大于40000</w:t>
      </w:r>
      <w:r>
        <w:t>/h</w:t>
      </w:r>
      <w:r>
        <w:rPr>
          <w:rFonts w:hint="eastAsia"/>
        </w:rPr>
        <w:t>。</w:t>
      </w:r>
    </w:p>
    <w:p>
      <w:pPr>
        <w:pStyle w:val="25"/>
      </w:pPr>
      <w:r>
        <w:rPr>
          <w:rFonts w:hint="eastAsia"/>
        </w:rPr>
        <w:t>5、冷凝</w:t>
      </w:r>
    </w:p>
    <w:p>
      <w:pPr>
        <w:pStyle w:val="25"/>
      </w:pPr>
      <w:r>
        <w:rPr>
          <w:rFonts w:hint="eastAsia"/>
        </w:rPr>
        <w:t>废气中的VOCs在冷凝器中冷凝，通过降低气体温度使VOCs达到过饱和后从气体中液化出来而得到净化，冷凝下来的有机物可以回收利用。</w:t>
      </w:r>
    </w:p>
    <w:p>
      <w:pPr>
        <w:pStyle w:val="25"/>
      </w:pPr>
      <w:r>
        <w:rPr>
          <w:rFonts w:hint="eastAsia"/>
        </w:rPr>
        <w:t>使用冷凝法时，应注意：</w:t>
      </w:r>
    </w:p>
    <w:p>
      <w:pPr>
        <w:pStyle w:val="25"/>
      </w:pPr>
      <w:r>
        <w:rPr>
          <w:rFonts w:hint="eastAsia"/>
        </w:rPr>
        <w:t>（1）主要用于处理高浓度废气，特别是组分比较单纯的、有一定回收经济价值的废气，去除效率为30%-40%；</w:t>
      </w:r>
    </w:p>
    <w:p>
      <w:pPr>
        <w:pStyle w:val="25"/>
      </w:pPr>
      <w:r>
        <w:rPr>
          <w:rFonts w:hint="eastAsia"/>
        </w:rPr>
        <w:t>（2）冷凝法吸收效率波动幅度大，可作为燃烧或吸附处理的预处理工段，特别是VOCs含量较高时，可通过冷凝回收降低后续净化装置的操作负担；</w:t>
      </w:r>
    </w:p>
    <w:p>
      <w:pPr>
        <w:pStyle w:val="25"/>
      </w:pPr>
      <w:r>
        <w:rPr>
          <w:rFonts w:hint="eastAsia"/>
        </w:rPr>
        <w:t>（3）可处理含有大量水蒸气的高温蒸汽。</w:t>
      </w:r>
    </w:p>
    <w:p>
      <w:pPr>
        <w:pStyle w:val="25"/>
      </w:pPr>
      <w:r>
        <w:rPr>
          <w:rFonts w:hint="eastAsia"/>
        </w:rPr>
        <w:t>（4）冷凝法对废气的处理程度受到冷凝温度限制，要处理效率高或处理低浓度废气时，需要将废气冷却到非常低的温度，经济上不合算。</w:t>
      </w:r>
    </w:p>
    <w:p>
      <w:pPr>
        <w:pStyle w:val="25"/>
      </w:pPr>
      <w:r>
        <w:rPr>
          <w:rFonts w:hint="eastAsia"/>
        </w:rPr>
        <w:t>6、印刷行业有机废气治理组合技术</w:t>
      </w:r>
    </w:p>
    <w:p>
      <w:pPr>
        <w:pStyle w:val="25"/>
      </w:pPr>
      <w:r>
        <w:rPr>
          <w:rFonts w:hint="eastAsia"/>
        </w:rPr>
        <w:t>印刷行业废气中VOCs通常为中低浓度（&lt;1000mg/m</w:t>
      </w:r>
      <w:r>
        <w:rPr>
          <w:rFonts w:hint="eastAsia"/>
          <w:vertAlign w:val="superscript"/>
        </w:rPr>
        <w:t>3</w:t>
      </w:r>
      <w:r>
        <w:rPr>
          <w:rFonts w:hint="eastAsia"/>
        </w:rPr>
        <w:t>），通常采用物理吸附-（回收）-销毁处置方法。</w:t>
      </w:r>
    </w:p>
    <w:p>
      <w:pPr>
        <w:pStyle w:val="25"/>
      </w:pPr>
      <w:r>
        <w:rPr>
          <w:rFonts w:hint="eastAsia"/>
        </w:rPr>
        <w:t>（1）典型组合工艺</w:t>
      </w:r>
    </w:p>
    <w:p>
      <w:pPr>
        <w:pStyle w:val="25"/>
      </w:pPr>
      <w:r>
        <w:rPr>
          <w:rFonts w:hint="eastAsia"/>
        </w:rPr>
        <w:t>活性炭吸附（沸石转轮吸附）+蓄热催化燃烧（蓄热式燃烧）</w:t>
      </w:r>
    </w:p>
    <w:p>
      <w:pPr>
        <w:pStyle w:val="25"/>
      </w:pPr>
      <w:r>
        <w:rPr>
          <w:rFonts w:hint="eastAsia"/>
        </w:rPr>
        <w:t>首先采用活性炭（沸石转轮）对废气中的VOCs进行吸附浓缩，再通过升温脱附，将大风量、低浓度的含VOCs废气转变为小风量、高浓度的含VOCs废气，再通过蓄热催化燃烧（蓄热式燃烧）对其继续销毁。</w:t>
      </w:r>
    </w:p>
    <w:p>
      <w:pPr>
        <w:pStyle w:val="25"/>
      </w:pPr>
      <w:r>
        <w:rPr>
          <w:rFonts w:hint="eastAsia"/>
        </w:rPr>
        <w:t>活性炭吸附+冷凝</w:t>
      </w:r>
    </w:p>
    <w:p>
      <w:pPr>
        <w:pStyle w:val="25"/>
      </w:pPr>
      <w:r>
        <w:rPr>
          <w:rFonts w:hint="eastAsia"/>
        </w:rPr>
        <w:t>首先采用活性炭对废气中的单一成分的VOCs进行吸附浓缩，再通过升温脱附，将大风量、低浓度的含VOCs废气转变为小风量、高浓度的含VOCs废气，通过冷凝对其进行回收后再利用。</w:t>
      </w:r>
    </w:p>
    <w:p>
      <w:pPr>
        <w:pStyle w:val="25"/>
      </w:pPr>
      <w:r>
        <w:rPr>
          <w:rFonts w:hint="eastAsia"/>
        </w:rPr>
        <w:t>（2）典型组合工艺的优缺点</w:t>
      </w:r>
    </w:p>
    <w:p>
      <w:pPr>
        <w:pStyle w:val="25"/>
      </w:pPr>
      <w:r>
        <w:rPr>
          <w:rFonts w:hint="eastAsia"/>
        </w:rPr>
        <w:t>几种典型组合工艺的优缺点见表6所示。</w:t>
      </w:r>
    </w:p>
    <w:p>
      <w:pPr>
        <w:pStyle w:val="25"/>
      </w:pPr>
    </w:p>
    <w:p>
      <w:pPr>
        <w:pStyle w:val="26"/>
      </w:pPr>
      <w:r>
        <w:rPr>
          <w:rFonts w:hint="eastAsia"/>
        </w:rPr>
        <w:t>表6 组合工艺特点比较</w:t>
      </w:r>
    </w:p>
    <w:tbl>
      <w:tblPr>
        <w:tblStyle w:val="14"/>
        <w:tblW w:w="8620" w:type="dxa"/>
        <w:tblInd w:w="0" w:type="dxa"/>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0"/>
        <w:gridCol w:w="3780"/>
        <w:gridCol w:w="2820"/>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020" w:type="dxa"/>
            <w:tcBorders>
              <w:top w:val="single" w:color="4F81BD" w:themeColor="accent1" w:sz="8" w:space="0"/>
              <w:left w:val="nil"/>
              <w:bottom w:val="single" w:color="4F81BD" w:themeColor="accent1" w:sz="8" w:space="0"/>
              <w:right w:val="nil"/>
              <w:insideH w:val="single" w:sz="8" w:space="0"/>
              <w:insideV w:val="nil"/>
            </w:tcBorders>
          </w:tcPr>
          <w:p>
            <w:pPr>
              <w:pStyle w:val="27"/>
              <w:spacing w:before="0" w:after="0"/>
              <w:jc w:val="center"/>
              <w:rPr>
                <w:b/>
                <w:bCs w:val="0"/>
                <w:color w:val="auto"/>
              </w:rPr>
            </w:pPr>
            <w:r>
              <w:rPr>
                <w:rFonts w:hint="eastAsia"/>
                <w:b/>
                <w:bCs w:val="0"/>
                <w:color w:val="376092" w:themeColor="accent1" w:themeShade="BF"/>
              </w:rPr>
              <w:t>典型组合工艺</w:t>
            </w:r>
          </w:p>
        </w:tc>
        <w:tc>
          <w:tcPr>
            <w:tcW w:w="3780" w:type="dxa"/>
            <w:tcBorders>
              <w:top w:val="single" w:color="4F81BD" w:themeColor="accent1" w:sz="8" w:space="0"/>
              <w:bottom w:val="single" w:color="4F81BD" w:themeColor="accent1" w:sz="8" w:space="0"/>
              <w:right w:val="nil"/>
              <w:insideH w:val="single" w:sz="8" w:space="0"/>
              <w:insideV w:val="nil"/>
            </w:tcBorders>
          </w:tcPr>
          <w:p>
            <w:pPr>
              <w:pStyle w:val="27"/>
              <w:spacing w:before="0" w:after="0"/>
              <w:jc w:val="center"/>
              <w:rPr>
                <w:b/>
                <w:bCs w:val="0"/>
                <w:color w:val="auto"/>
              </w:rPr>
            </w:pPr>
            <w:r>
              <w:rPr>
                <w:rFonts w:hint="eastAsia"/>
                <w:b/>
                <w:bCs w:val="0"/>
                <w:color w:val="376092" w:themeColor="accent1" w:themeShade="BF"/>
              </w:rPr>
              <w:t>优点</w:t>
            </w:r>
          </w:p>
        </w:tc>
        <w:tc>
          <w:tcPr>
            <w:tcW w:w="2820" w:type="dxa"/>
            <w:tcBorders>
              <w:top w:val="single" w:color="4F81BD" w:themeColor="accent1" w:sz="8" w:space="0"/>
              <w:bottom w:val="single" w:color="4F81BD" w:themeColor="accent1" w:sz="8" w:space="0"/>
              <w:right w:val="nil"/>
              <w:insideH w:val="single" w:sz="8" w:space="0"/>
              <w:insideV w:val="nil"/>
            </w:tcBorders>
          </w:tcPr>
          <w:p>
            <w:pPr>
              <w:pStyle w:val="27"/>
              <w:spacing w:before="0" w:after="0"/>
              <w:jc w:val="center"/>
              <w:rPr>
                <w:b/>
                <w:bCs w:val="0"/>
                <w:color w:val="auto"/>
              </w:rPr>
            </w:pPr>
            <w:r>
              <w:rPr>
                <w:rFonts w:hint="eastAsia"/>
                <w:b/>
                <w:bCs w:val="0"/>
                <w:color w:val="376092" w:themeColor="accent1" w:themeShade="BF"/>
              </w:rPr>
              <w:t>缺点</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2020" w:type="dxa"/>
            <w:tcBorders>
              <w:left w:val="nil"/>
              <w:right w:val="nil"/>
            </w:tcBorders>
            <w:shd w:val="clear" w:color="auto" w:fill="D3DFEE" w:themeFill="accent1" w:themeFillTint="3F"/>
          </w:tcPr>
          <w:p>
            <w:pPr>
              <w:pStyle w:val="27"/>
              <w:rPr>
                <w:b/>
                <w:bCs w:val="0"/>
                <w:color w:val="auto"/>
              </w:rPr>
            </w:pPr>
            <w:r>
              <w:rPr>
                <w:rFonts w:hint="eastAsia"/>
                <w:b/>
                <w:bCs w:val="0"/>
                <w:color w:val="376092" w:themeColor="accent1" w:themeShade="BF"/>
              </w:rPr>
              <w:t>活性炭吸附</w:t>
            </w:r>
            <w:r>
              <w:rPr>
                <w:b/>
                <w:bCs w:val="0"/>
                <w:color w:val="376092" w:themeColor="accent1" w:themeShade="BF"/>
              </w:rPr>
              <w:t>+</w:t>
            </w:r>
            <w:r>
              <w:rPr>
                <w:rFonts w:hint="eastAsia"/>
                <w:b/>
                <w:bCs w:val="0"/>
                <w:color w:val="376092" w:themeColor="accent1" w:themeShade="BF"/>
              </w:rPr>
              <w:t>蓄热式燃烧</w:t>
            </w:r>
          </w:p>
        </w:tc>
        <w:tc>
          <w:tcPr>
            <w:tcW w:w="3780" w:type="dxa"/>
            <w:tcBorders>
              <w:right w:val="nil"/>
            </w:tcBorders>
            <w:shd w:val="clear" w:color="auto" w:fill="D3DFEE" w:themeFill="accent1" w:themeFillTint="3F"/>
          </w:tcPr>
          <w:p>
            <w:pPr>
              <w:pStyle w:val="27"/>
              <w:rPr>
                <w:color w:val="auto"/>
              </w:rPr>
            </w:pPr>
            <w:r>
              <w:rPr>
                <w:rFonts w:hint="eastAsia"/>
                <w:color w:val="376092" w:themeColor="accent1" w:themeShade="BF"/>
              </w:rPr>
              <w:t>造价相对较低、前期投入较少。蓄热式燃烧有一定的自我调节能力，扩干扰能力强，热回收效率</w:t>
            </w:r>
            <w:r>
              <w:rPr>
                <w:color w:val="376092" w:themeColor="accent1" w:themeShade="BF"/>
              </w:rPr>
              <w:t>90%</w:t>
            </w:r>
            <w:r>
              <w:rPr>
                <w:rFonts w:hint="eastAsia"/>
                <w:color w:val="376092" w:themeColor="accent1" w:themeShade="BF"/>
              </w:rPr>
              <w:t>以上</w:t>
            </w:r>
          </w:p>
        </w:tc>
        <w:tc>
          <w:tcPr>
            <w:tcW w:w="2820" w:type="dxa"/>
            <w:tcBorders>
              <w:right w:val="nil"/>
            </w:tcBorders>
            <w:shd w:val="clear" w:color="auto" w:fill="D3DFEE" w:themeFill="accent1" w:themeFillTint="3F"/>
          </w:tcPr>
          <w:p>
            <w:pPr>
              <w:pStyle w:val="27"/>
              <w:rPr>
                <w:color w:val="auto"/>
              </w:rPr>
            </w:pPr>
            <w:r>
              <w:rPr>
                <w:rFonts w:hint="eastAsia"/>
                <w:color w:val="376092" w:themeColor="accent1" w:themeShade="BF"/>
              </w:rPr>
              <w:t>脱附时有燃烧危险，风险相对较高。燃烧温度高，产生</w:t>
            </w:r>
            <w:r>
              <w:rPr>
                <w:color w:val="376092" w:themeColor="accent1" w:themeShade="BF"/>
              </w:rPr>
              <w:t>N</w:t>
            </w:r>
            <w:r>
              <w:rPr>
                <w:rFonts w:hint="eastAsia"/>
                <w:color w:val="376092" w:themeColor="accent1" w:themeShade="BF"/>
                <w:lang w:val="en-US" w:eastAsia="zh-CN"/>
              </w:rPr>
              <w:t>O</w:t>
            </w:r>
            <w:r>
              <w:rPr>
                <w:color w:val="376092" w:themeColor="accent1" w:themeShade="BF"/>
              </w:rPr>
              <w:t>x</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2020" w:type="dxa"/>
          </w:tcPr>
          <w:p>
            <w:pPr>
              <w:pStyle w:val="27"/>
              <w:rPr>
                <w:b/>
                <w:bCs w:val="0"/>
                <w:color w:val="auto"/>
              </w:rPr>
            </w:pPr>
            <w:r>
              <w:rPr>
                <w:rFonts w:hint="eastAsia"/>
                <w:b/>
                <w:bCs w:val="0"/>
                <w:color w:val="376092" w:themeColor="accent1" w:themeShade="BF"/>
              </w:rPr>
              <w:t>活性炭吸附</w:t>
            </w:r>
            <w:r>
              <w:rPr>
                <w:b/>
                <w:bCs w:val="0"/>
                <w:color w:val="376092" w:themeColor="accent1" w:themeShade="BF"/>
              </w:rPr>
              <w:t>+</w:t>
            </w:r>
            <w:r>
              <w:rPr>
                <w:rFonts w:hint="eastAsia"/>
                <w:b/>
                <w:bCs w:val="0"/>
                <w:color w:val="376092" w:themeColor="accent1" w:themeShade="BF"/>
              </w:rPr>
              <w:t>蓄热式催化燃烧</w:t>
            </w:r>
          </w:p>
        </w:tc>
        <w:tc>
          <w:tcPr>
            <w:tcW w:w="3780" w:type="dxa"/>
          </w:tcPr>
          <w:p>
            <w:pPr>
              <w:pStyle w:val="27"/>
              <w:rPr>
                <w:color w:val="auto"/>
              </w:rPr>
            </w:pPr>
            <w:r>
              <w:rPr>
                <w:rFonts w:hint="eastAsia"/>
                <w:color w:val="376092" w:themeColor="accent1" w:themeShade="BF"/>
              </w:rPr>
              <w:t>造价相对较低、前期投入较少。起燃温度低，节约能源，处理效率高，无二次污染</w:t>
            </w:r>
          </w:p>
        </w:tc>
        <w:tc>
          <w:tcPr>
            <w:tcW w:w="2820" w:type="dxa"/>
          </w:tcPr>
          <w:p>
            <w:pPr>
              <w:pStyle w:val="27"/>
              <w:rPr>
                <w:color w:val="auto"/>
              </w:rPr>
            </w:pPr>
            <w:r>
              <w:rPr>
                <w:rFonts w:hint="eastAsia"/>
                <w:color w:val="376092" w:themeColor="accent1" w:themeShade="BF"/>
              </w:rPr>
              <w:t>催化剂成本高，其存在中毒和寿命问题。脱附时有燃烧危险，风险相对较高</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4" w:hRule="atLeast"/>
        </w:trPr>
        <w:tc>
          <w:tcPr>
            <w:tcW w:w="2020" w:type="dxa"/>
            <w:tcBorders>
              <w:left w:val="nil"/>
              <w:right w:val="nil"/>
            </w:tcBorders>
            <w:shd w:val="clear" w:color="auto" w:fill="D3DFEE" w:themeFill="accent1" w:themeFillTint="3F"/>
          </w:tcPr>
          <w:p>
            <w:pPr>
              <w:pStyle w:val="27"/>
              <w:rPr>
                <w:b/>
                <w:bCs w:val="0"/>
                <w:color w:val="auto"/>
              </w:rPr>
            </w:pPr>
            <w:r>
              <w:rPr>
                <w:rFonts w:hint="eastAsia"/>
                <w:b/>
                <w:bCs w:val="0"/>
                <w:color w:val="376092" w:themeColor="accent1" w:themeShade="BF"/>
              </w:rPr>
              <w:t>沸石转轮吸附</w:t>
            </w:r>
            <w:r>
              <w:rPr>
                <w:b/>
                <w:bCs w:val="0"/>
                <w:color w:val="376092" w:themeColor="accent1" w:themeShade="BF"/>
              </w:rPr>
              <w:t>+</w:t>
            </w:r>
            <w:r>
              <w:rPr>
                <w:rFonts w:hint="eastAsia"/>
                <w:b/>
                <w:bCs w:val="0"/>
                <w:color w:val="376092" w:themeColor="accent1" w:themeShade="BF"/>
              </w:rPr>
              <w:t>蓄热催化燃烧</w:t>
            </w:r>
          </w:p>
        </w:tc>
        <w:tc>
          <w:tcPr>
            <w:tcW w:w="3780" w:type="dxa"/>
            <w:tcBorders>
              <w:right w:val="nil"/>
            </w:tcBorders>
            <w:shd w:val="clear" w:color="auto" w:fill="D3DFEE" w:themeFill="accent1" w:themeFillTint="3F"/>
          </w:tcPr>
          <w:p>
            <w:pPr>
              <w:pStyle w:val="27"/>
              <w:rPr>
                <w:color w:val="auto"/>
              </w:rPr>
            </w:pPr>
            <w:r>
              <w:rPr>
                <w:rFonts w:hint="eastAsia"/>
                <w:color w:val="376092" w:themeColor="accent1" w:themeShade="BF"/>
              </w:rPr>
              <w:t>沸石不具备可燃性，不会引发溶剂反应。吸收</w:t>
            </w:r>
            <w:r>
              <w:rPr>
                <w:color w:val="376092" w:themeColor="accent1" w:themeShade="BF"/>
              </w:rPr>
              <w:t>VOCs</w:t>
            </w:r>
            <w:r>
              <w:rPr>
                <w:rFonts w:hint="eastAsia"/>
                <w:color w:val="376092" w:themeColor="accent1" w:themeShade="BF"/>
              </w:rPr>
              <w:t>产生的压降低，电耗少。起燃温度低，节约能源，处理效率高，无二次污染</w:t>
            </w:r>
          </w:p>
        </w:tc>
        <w:tc>
          <w:tcPr>
            <w:tcW w:w="2820" w:type="dxa"/>
            <w:tcBorders>
              <w:right w:val="nil"/>
            </w:tcBorders>
            <w:shd w:val="clear" w:color="auto" w:fill="D3DFEE" w:themeFill="accent1" w:themeFillTint="3F"/>
          </w:tcPr>
          <w:p>
            <w:pPr>
              <w:pStyle w:val="27"/>
              <w:rPr>
                <w:color w:val="auto"/>
              </w:rPr>
            </w:pPr>
            <w:r>
              <w:rPr>
                <w:rFonts w:hint="eastAsia"/>
                <w:color w:val="376092" w:themeColor="accent1" w:themeShade="BF"/>
              </w:rPr>
              <w:t>造价高，维护成本高。容易发生高沸点</w:t>
            </w:r>
            <w:r>
              <w:rPr>
                <w:color w:val="376092" w:themeColor="accent1" w:themeShade="BF"/>
              </w:rPr>
              <w:t>VOCs</w:t>
            </w:r>
            <w:r>
              <w:rPr>
                <w:rFonts w:hint="eastAsia"/>
                <w:color w:val="376092" w:themeColor="accent1" w:themeShade="BF"/>
              </w:rPr>
              <w:t>残留，必须进行预处理。脱附温度较高，脱附出的</w:t>
            </w:r>
            <w:r>
              <w:rPr>
                <w:color w:val="376092" w:themeColor="accent1" w:themeShade="BF"/>
              </w:rPr>
              <w:t>VOCs</w:t>
            </w:r>
            <w:r>
              <w:rPr>
                <w:rFonts w:hint="eastAsia"/>
                <w:color w:val="376092" w:themeColor="accent1" w:themeShade="BF"/>
              </w:rPr>
              <w:t>容易与氧气反应</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020" w:type="dxa"/>
          </w:tcPr>
          <w:p>
            <w:pPr>
              <w:pStyle w:val="27"/>
              <w:rPr>
                <w:b/>
                <w:bCs w:val="0"/>
                <w:color w:val="auto"/>
              </w:rPr>
            </w:pPr>
            <w:r>
              <w:rPr>
                <w:rFonts w:hint="eastAsia"/>
                <w:b/>
                <w:bCs w:val="0"/>
                <w:color w:val="376092" w:themeColor="accent1" w:themeShade="BF"/>
              </w:rPr>
              <w:t>活性炭吸附</w:t>
            </w:r>
            <w:r>
              <w:rPr>
                <w:b/>
                <w:bCs w:val="0"/>
                <w:color w:val="376092" w:themeColor="accent1" w:themeShade="BF"/>
              </w:rPr>
              <w:t>+</w:t>
            </w:r>
            <w:r>
              <w:rPr>
                <w:rFonts w:hint="eastAsia"/>
                <w:b/>
                <w:bCs w:val="0"/>
                <w:color w:val="376092" w:themeColor="accent1" w:themeShade="BF"/>
              </w:rPr>
              <w:t>冷凝</w:t>
            </w:r>
          </w:p>
        </w:tc>
        <w:tc>
          <w:tcPr>
            <w:tcW w:w="3780" w:type="dxa"/>
          </w:tcPr>
          <w:p>
            <w:pPr>
              <w:pStyle w:val="27"/>
              <w:rPr>
                <w:color w:val="auto"/>
              </w:rPr>
            </w:pPr>
            <w:r>
              <w:rPr>
                <w:rFonts w:hint="eastAsia"/>
                <w:color w:val="376092" w:themeColor="accent1" w:themeShade="BF"/>
              </w:rPr>
              <w:t>回收有用的有机溶剂</w:t>
            </w:r>
          </w:p>
        </w:tc>
        <w:tc>
          <w:tcPr>
            <w:tcW w:w="2820" w:type="dxa"/>
          </w:tcPr>
          <w:p>
            <w:pPr>
              <w:pStyle w:val="27"/>
              <w:rPr>
                <w:color w:val="auto"/>
              </w:rPr>
            </w:pPr>
            <w:r>
              <w:rPr>
                <w:rFonts w:hint="eastAsia"/>
                <w:color w:val="376092" w:themeColor="accent1" w:themeShade="BF"/>
              </w:rPr>
              <w:t>设备庞大、适合有机溶剂单一的企业</w:t>
            </w:r>
          </w:p>
        </w:tc>
      </w:tr>
    </w:tbl>
    <w:p>
      <w:pPr>
        <w:pStyle w:val="25"/>
      </w:pPr>
    </w:p>
    <w:p>
      <w:pPr>
        <w:pStyle w:val="24"/>
        <w:spacing w:before="156" w:after="156"/>
        <w:ind w:firstLine="0" w:firstLineChars="0"/>
        <w:outlineLvl w:val="4"/>
      </w:pPr>
      <w:r>
        <w:rPr>
          <w:rFonts w:hint="eastAsia"/>
        </w:rPr>
        <w:t>4.2.4.5工艺指标</w:t>
      </w:r>
    </w:p>
    <w:p>
      <w:pPr>
        <w:pStyle w:val="25"/>
      </w:pPr>
      <w:r>
        <w:rPr>
          <w:rFonts w:hint="eastAsia"/>
        </w:rPr>
        <w:t>几种治理技术的各项经济和技术指标见表7。</w:t>
      </w:r>
    </w:p>
    <w:p>
      <w:pPr>
        <w:pStyle w:val="26"/>
      </w:pPr>
    </w:p>
    <w:p>
      <w:pPr>
        <w:pStyle w:val="26"/>
      </w:pPr>
      <w:r>
        <w:rPr>
          <w:rFonts w:hint="eastAsia"/>
        </w:rPr>
        <w:t>表7几种治理技术的各项经济和技术指标</w:t>
      </w:r>
    </w:p>
    <w:tbl>
      <w:tblPr>
        <w:tblStyle w:val="14"/>
        <w:tblW w:w="8505" w:type="dxa"/>
        <w:tblInd w:w="0" w:type="dxa"/>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1647"/>
        <w:gridCol w:w="1118"/>
        <w:gridCol w:w="921"/>
        <w:gridCol w:w="992"/>
        <w:gridCol w:w="850"/>
        <w:gridCol w:w="1080"/>
        <w:gridCol w:w="1080"/>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tcBorders>
              <w:top w:val="single" w:color="4F81BD" w:themeColor="accent1" w:sz="8" w:space="0"/>
              <w:left w:val="nil"/>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类型</w:t>
            </w:r>
          </w:p>
        </w:tc>
        <w:tc>
          <w:tcPr>
            <w:tcW w:w="1647"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治理技术</w:t>
            </w:r>
          </w:p>
        </w:tc>
        <w:tc>
          <w:tcPr>
            <w:tcW w:w="1118"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去除效率</w:t>
            </w:r>
          </w:p>
        </w:tc>
        <w:tc>
          <w:tcPr>
            <w:tcW w:w="921"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建设</w:t>
            </w:r>
          </w:p>
          <w:p>
            <w:pPr>
              <w:pStyle w:val="27"/>
              <w:spacing w:before="0" w:after="0"/>
              <w:rPr>
                <w:b/>
                <w:bCs w:val="0"/>
                <w:color w:val="376092" w:themeColor="accent1" w:themeShade="BF"/>
              </w:rPr>
            </w:pPr>
            <w:r>
              <w:rPr>
                <w:rFonts w:hint="eastAsia"/>
                <w:b/>
                <w:bCs w:val="0"/>
                <w:color w:val="376092" w:themeColor="accent1" w:themeShade="BF"/>
              </w:rPr>
              <w:t>成本</w:t>
            </w:r>
          </w:p>
        </w:tc>
        <w:tc>
          <w:tcPr>
            <w:tcW w:w="992"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运行</w:t>
            </w:r>
          </w:p>
          <w:p>
            <w:pPr>
              <w:pStyle w:val="27"/>
              <w:spacing w:before="0" w:after="0"/>
              <w:rPr>
                <w:b/>
                <w:bCs w:val="0"/>
                <w:color w:val="376092" w:themeColor="accent1" w:themeShade="BF"/>
              </w:rPr>
            </w:pPr>
            <w:r>
              <w:rPr>
                <w:rFonts w:hint="eastAsia"/>
                <w:b/>
                <w:bCs w:val="0"/>
                <w:color w:val="376092" w:themeColor="accent1" w:themeShade="BF"/>
              </w:rPr>
              <w:t>成本</w:t>
            </w:r>
          </w:p>
        </w:tc>
        <w:tc>
          <w:tcPr>
            <w:tcW w:w="850"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安全</w:t>
            </w:r>
          </w:p>
          <w:p>
            <w:pPr>
              <w:pStyle w:val="27"/>
              <w:spacing w:before="0" w:after="0"/>
              <w:rPr>
                <w:b/>
                <w:bCs w:val="0"/>
                <w:color w:val="376092" w:themeColor="accent1" w:themeShade="BF"/>
              </w:rPr>
            </w:pPr>
            <w:r>
              <w:rPr>
                <w:rFonts w:hint="eastAsia"/>
                <w:b/>
                <w:bCs w:val="0"/>
                <w:color w:val="376092" w:themeColor="accent1" w:themeShade="BF"/>
              </w:rPr>
              <w:t>系数</w:t>
            </w:r>
          </w:p>
        </w:tc>
        <w:tc>
          <w:tcPr>
            <w:tcW w:w="1080"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自动化</w:t>
            </w:r>
          </w:p>
          <w:p>
            <w:pPr>
              <w:pStyle w:val="27"/>
              <w:spacing w:before="0" w:after="0"/>
              <w:rPr>
                <w:b/>
                <w:bCs w:val="0"/>
                <w:color w:val="376092" w:themeColor="accent1" w:themeShade="BF"/>
              </w:rPr>
            </w:pPr>
            <w:r>
              <w:rPr>
                <w:rFonts w:hint="eastAsia"/>
                <w:b/>
                <w:bCs w:val="0"/>
                <w:color w:val="376092" w:themeColor="accent1" w:themeShade="BF"/>
              </w:rPr>
              <w:t>程度</w:t>
            </w:r>
          </w:p>
        </w:tc>
        <w:tc>
          <w:tcPr>
            <w:tcW w:w="1080" w:type="dxa"/>
            <w:tcBorders>
              <w:top w:val="single" w:color="4F81BD" w:themeColor="accent1" w:sz="8" w:space="0"/>
              <w:bottom w:val="single" w:color="4F81BD" w:themeColor="accent1" w:sz="8" w:space="0"/>
              <w:right w:val="nil"/>
              <w:insideH w:val="single" w:sz="8" w:space="0"/>
              <w:insideV w:val="nil"/>
            </w:tcBorders>
          </w:tcPr>
          <w:p>
            <w:pPr>
              <w:pStyle w:val="27"/>
              <w:spacing w:before="0" w:after="0"/>
              <w:rPr>
                <w:b/>
                <w:bCs w:val="0"/>
                <w:color w:val="376092" w:themeColor="accent1" w:themeShade="BF"/>
              </w:rPr>
            </w:pPr>
            <w:r>
              <w:rPr>
                <w:rFonts w:hint="eastAsia"/>
                <w:b/>
                <w:bCs w:val="0"/>
                <w:color w:val="376092" w:themeColor="accent1" w:themeShade="BF"/>
              </w:rPr>
              <w:t>监控</w:t>
            </w:r>
          </w:p>
          <w:p>
            <w:pPr>
              <w:pStyle w:val="27"/>
              <w:spacing w:before="0" w:after="0"/>
              <w:rPr>
                <w:b/>
                <w:bCs w:val="0"/>
                <w:color w:val="376092" w:themeColor="accent1" w:themeShade="BF"/>
              </w:rPr>
            </w:pPr>
            <w:r>
              <w:rPr>
                <w:rFonts w:hint="eastAsia"/>
                <w:b/>
                <w:bCs w:val="0"/>
                <w:color w:val="376092" w:themeColor="accent1" w:themeShade="BF"/>
              </w:rPr>
              <w:t>难度</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vMerge w:val="restart"/>
            <w:tcBorders>
              <w:left w:val="nil"/>
              <w:right w:val="nil"/>
            </w:tcBorders>
            <w:shd w:val="clear" w:color="auto" w:fill="D3DFEE" w:themeFill="accent1" w:themeFillTint="3F"/>
          </w:tcPr>
          <w:p>
            <w:pPr>
              <w:pStyle w:val="27"/>
              <w:rPr>
                <w:b/>
                <w:bCs w:val="0"/>
                <w:color w:val="376092" w:themeColor="accent1" w:themeShade="BF"/>
              </w:rPr>
            </w:pPr>
            <w:r>
              <w:rPr>
                <w:rFonts w:hint="eastAsia"/>
                <w:b/>
                <w:bCs w:val="0"/>
                <w:color w:val="376092" w:themeColor="accent1" w:themeShade="BF"/>
              </w:rPr>
              <w:t>单一工艺</w:t>
            </w:r>
          </w:p>
        </w:tc>
        <w:tc>
          <w:tcPr>
            <w:tcW w:w="1647"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活性炭吸附</w:t>
            </w:r>
          </w:p>
        </w:tc>
        <w:tc>
          <w:tcPr>
            <w:tcW w:w="1118"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30%-50%</w:t>
            </w:r>
          </w:p>
        </w:tc>
        <w:tc>
          <w:tcPr>
            <w:tcW w:w="921"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c>
          <w:tcPr>
            <w:tcW w:w="992"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c>
          <w:tcPr>
            <w:tcW w:w="850"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376092" w:themeColor="accent1" w:themeShade="BF"/>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vMerge w:val="continue"/>
          </w:tcPr>
          <w:p>
            <w:pPr>
              <w:pStyle w:val="27"/>
              <w:rPr>
                <w:b/>
                <w:bCs w:val="0"/>
                <w:color w:val="auto"/>
              </w:rPr>
            </w:pPr>
          </w:p>
        </w:tc>
        <w:tc>
          <w:tcPr>
            <w:tcW w:w="1647" w:type="dxa"/>
          </w:tcPr>
          <w:p>
            <w:pPr>
              <w:pStyle w:val="27"/>
              <w:rPr>
                <w:color w:val="auto"/>
              </w:rPr>
            </w:pPr>
            <w:r>
              <w:rPr>
                <w:rFonts w:hint="eastAsia"/>
                <w:color w:val="376092" w:themeColor="accent1" w:themeShade="BF"/>
              </w:rPr>
              <w:t>生物净化</w:t>
            </w:r>
          </w:p>
        </w:tc>
        <w:tc>
          <w:tcPr>
            <w:tcW w:w="1118" w:type="dxa"/>
          </w:tcPr>
          <w:p>
            <w:pPr>
              <w:pStyle w:val="27"/>
              <w:rPr>
                <w:color w:val="auto"/>
              </w:rPr>
            </w:pPr>
            <w:r>
              <w:rPr>
                <w:rFonts w:hint="eastAsia"/>
                <w:color w:val="376092" w:themeColor="accent1" w:themeShade="BF"/>
              </w:rPr>
              <w:t>30%-50%</w:t>
            </w:r>
          </w:p>
        </w:tc>
        <w:tc>
          <w:tcPr>
            <w:tcW w:w="921" w:type="dxa"/>
          </w:tcPr>
          <w:p>
            <w:pPr>
              <w:pStyle w:val="27"/>
              <w:rPr>
                <w:color w:val="auto"/>
              </w:rPr>
            </w:pPr>
            <w:r>
              <w:rPr>
                <w:rFonts w:hint="eastAsia"/>
                <w:color w:val="376092" w:themeColor="accent1" w:themeShade="BF"/>
              </w:rPr>
              <w:t>*</w:t>
            </w:r>
          </w:p>
        </w:tc>
        <w:tc>
          <w:tcPr>
            <w:tcW w:w="992" w:type="dxa"/>
          </w:tcPr>
          <w:p>
            <w:pPr>
              <w:pStyle w:val="27"/>
              <w:rPr>
                <w:color w:val="auto"/>
              </w:rPr>
            </w:pPr>
            <w:r>
              <w:rPr>
                <w:rFonts w:hint="eastAsia"/>
                <w:color w:val="376092" w:themeColor="accent1" w:themeShade="BF"/>
              </w:rPr>
              <w:t>*</w:t>
            </w:r>
          </w:p>
        </w:tc>
        <w:tc>
          <w:tcPr>
            <w:tcW w:w="850" w:type="dxa"/>
          </w:tcPr>
          <w:p>
            <w:pPr>
              <w:pStyle w:val="27"/>
              <w:rPr>
                <w:color w:val="auto"/>
              </w:rPr>
            </w:pPr>
            <w:r>
              <w:rPr>
                <w:rFonts w:hint="eastAsia"/>
                <w:color w:val="376092" w:themeColor="accent1" w:themeShade="BF"/>
              </w:rPr>
              <w:t>****</w:t>
            </w:r>
          </w:p>
        </w:tc>
        <w:tc>
          <w:tcPr>
            <w:tcW w:w="1080" w:type="dxa"/>
          </w:tcPr>
          <w:p>
            <w:pPr>
              <w:pStyle w:val="27"/>
              <w:rPr>
                <w:color w:val="auto"/>
              </w:rPr>
            </w:pPr>
            <w:r>
              <w:rPr>
                <w:rFonts w:hint="eastAsia"/>
                <w:color w:val="376092" w:themeColor="accent1" w:themeShade="BF"/>
              </w:rPr>
              <w:t>***</w:t>
            </w:r>
          </w:p>
        </w:tc>
        <w:tc>
          <w:tcPr>
            <w:tcW w:w="1080" w:type="dxa"/>
          </w:tcPr>
          <w:p>
            <w:pPr>
              <w:pStyle w:val="27"/>
              <w:rPr>
                <w:color w:val="auto"/>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vMerge w:val="continue"/>
            <w:tcBorders>
              <w:left w:val="nil"/>
              <w:right w:val="nil"/>
            </w:tcBorders>
            <w:shd w:val="clear" w:color="auto" w:fill="D3DFEE" w:themeFill="accent1" w:themeFillTint="3F"/>
          </w:tcPr>
          <w:p>
            <w:pPr>
              <w:pStyle w:val="27"/>
              <w:rPr>
                <w:b/>
                <w:bCs w:val="0"/>
                <w:color w:val="auto"/>
              </w:rPr>
            </w:pPr>
          </w:p>
        </w:tc>
        <w:tc>
          <w:tcPr>
            <w:tcW w:w="1647" w:type="dxa"/>
            <w:tcBorders>
              <w:right w:val="nil"/>
            </w:tcBorders>
            <w:shd w:val="clear" w:color="auto" w:fill="D3DFEE" w:themeFill="accent1" w:themeFillTint="3F"/>
          </w:tcPr>
          <w:p>
            <w:pPr>
              <w:pStyle w:val="27"/>
              <w:rPr>
                <w:color w:val="auto"/>
              </w:rPr>
            </w:pPr>
            <w:r>
              <w:rPr>
                <w:rFonts w:hint="eastAsia"/>
                <w:color w:val="376092" w:themeColor="accent1" w:themeShade="BF"/>
              </w:rPr>
              <w:t>冷凝</w:t>
            </w:r>
          </w:p>
        </w:tc>
        <w:tc>
          <w:tcPr>
            <w:tcW w:w="1118" w:type="dxa"/>
            <w:tcBorders>
              <w:right w:val="nil"/>
            </w:tcBorders>
            <w:shd w:val="clear" w:color="auto" w:fill="D3DFEE" w:themeFill="accent1" w:themeFillTint="3F"/>
          </w:tcPr>
          <w:p>
            <w:pPr>
              <w:pStyle w:val="27"/>
              <w:rPr>
                <w:color w:val="auto"/>
              </w:rPr>
            </w:pPr>
            <w:r>
              <w:rPr>
                <w:rFonts w:hint="eastAsia"/>
                <w:color w:val="376092" w:themeColor="accent1" w:themeShade="BF"/>
              </w:rPr>
              <w:t>30%-40%</w:t>
            </w:r>
          </w:p>
        </w:tc>
        <w:tc>
          <w:tcPr>
            <w:tcW w:w="921"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992"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85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vMerge w:val="restart"/>
          </w:tcPr>
          <w:p>
            <w:pPr>
              <w:pStyle w:val="27"/>
              <w:rPr>
                <w:b/>
                <w:bCs w:val="0"/>
                <w:color w:val="376092" w:themeColor="accent1" w:themeShade="BF"/>
              </w:rPr>
            </w:pPr>
            <w:r>
              <w:rPr>
                <w:rFonts w:hint="eastAsia"/>
                <w:b/>
                <w:bCs w:val="0"/>
                <w:color w:val="376092" w:themeColor="accent1" w:themeShade="BF"/>
              </w:rPr>
              <w:t>组合工艺</w:t>
            </w:r>
          </w:p>
        </w:tc>
        <w:tc>
          <w:tcPr>
            <w:tcW w:w="1647" w:type="dxa"/>
          </w:tcPr>
          <w:p>
            <w:pPr>
              <w:pStyle w:val="27"/>
              <w:rPr>
                <w:color w:val="376092" w:themeColor="accent1" w:themeShade="BF"/>
              </w:rPr>
            </w:pPr>
            <w:r>
              <w:rPr>
                <w:rFonts w:hint="eastAsia"/>
                <w:color w:val="376092" w:themeColor="accent1" w:themeShade="BF"/>
              </w:rPr>
              <w:t>活性炭吸附+蓄热式燃烧</w:t>
            </w:r>
          </w:p>
        </w:tc>
        <w:tc>
          <w:tcPr>
            <w:tcW w:w="1118" w:type="dxa"/>
          </w:tcPr>
          <w:p>
            <w:pPr>
              <w:pStyle w:val="27"/>
              <w:rPr>
                <w:color w:val="376092" w:themeColor="accent1" w:themeShade="BF"/>
              </w:rPr>
            </w:pPr>
            <w:r>
              <w:rPr>
                <w:rFonts w:hint="eastAsia"/>
                <w:color w:val="376092" w:themeColor="accent1" w:themeShade="BF"/>
              </w:rPr>
              <w:t>＞90%</w:t>
            </w:r>
          </w:p>
        </w:tc>
        <w:tc>
          <w:tcPr>
            <w:tcW w:w="921" w:type="dxa"/>
          </w:tcPr>
          <w:p>
            <w:pPr>
              <w:pStyle w:val="27"/>
              <w:rPr>
                <w:color w:val="376092" w:themeColor="accent1" w:themeShade="BF"/>
              </w:rPr>
            </w:pPr>
            <w:r>
              <w:rPr>
                <w:rFonts w:hint="eastAsia"/>
                <w:color w:val="376092" w:themeColor="accent1" w:themeShade="BF"/>
              </w:rPr>
              <w:t>****</w:t>
            </w:r>
          </w:p>
        </w:tc>
        <w:tc>
          <w:tcPr>
            <w:tcW w:w="992" w:type="dxa"/>
          </w:tcPr>
          <w:p>
            <w:pPr>
              <w:pStyle w:val="27"/>
              <w:rPr>
                <w:color w:val="376092" w:themeColor="accent1" w:themeShade="BF"/>
              </w:rPr>
            </w:pPr>
            <w:r>
              <w:rPr>
                <w:rFonts w:hint="eastAsia"/>
                <w:color w:val="376092" w:themeColor="accent1" w:themeShade="BF"/>
              </w:rPr>
              <w:t>****</w:t>
            </w:r>
          </w:p>
        </w:tc>
        <w:tc>
          <w:tcPr>
            <w:tcW w:w="850" w:type="dxa"/>
          </w:tcPr>
          <w:p>
            <w:pPr>
              <w:pStyle w:val="27"/>
              <w:rPr>
                <w:color w:val="376092" w:themeColor="accent1" w:themeShade="BF"/>
              </w:rPr>
            </w:pPr>
            <w:r>
              <w:rPr>
                <w:rFonts w:hint="eastAsia"/>
                <w:color w:val="376092" w:themeColor="accent1" w:themeShade="BF"/>
              </w:rPr>
              <w:t>****</w:t>
            </w:r>
          </w:p>
        </w:tc>
        <w:tc>
          <w:tcPr>
            <w:tcW w:w="1080" w:type="dxa"/>
          </w:tcPr>
          <w:p>
            <w:pPr>
              <w:pStyle w:val="27"/>
              <w:rPr>
                <w:color w:val="376092" w:themeColor="accent1" w:themeShade="BF"/>
              </w:rPr>
            </w:pPr>
            <w:r>
              <w:rPr>
                <w:rFonts w:hint="eastAsia"/>
                <w:color w:val="376092" w:themeColor="accent1" w:themeShade="BF"/>
              </w:rPr>
              <w:t>*****</w:t>
            </w:r>
          </w:p>
        </w:tc>
        <w:tc>
          <w:tcPr>
            <w:tcW w:w="1080" w:type="dxa"/>
          </w:tcPr>
          <w:p>
            <w:pPr>
              <w:pStyle w:val="27"/>
              <w:rPr>
                <w:color w:val="auto"/>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vMerge w:val="continue"/>
            <w:tcBorders>
              <w:left w:val="nil"/>
              <w:right w:val="nil"/>
            </w:tcBorders>
            <w:shd w:val="clear" w:color="auto" w:fill="D3DFEE" w:themeFill="accent1" w:themeFillTint="3F"/>
          </w:tcPr>
          <w:p>
            <w:pPr>
              <w:pStyle w:val="27"/>
              <w:rPr>
                <w:b/>
                <w:bCs w:val="0"/>
                <w:color w:val="auto"/>
              </w:rPr>
            </w:pPr>
          </w:p>
        </w:tc>
        <w:tc>
          <w:tcPr>
            <w:tcW w:w="1647" w:type="dxa"/>
            <w:tcBorders>
              <w:right w:val="nil"/>
            </w:tcBorders>
            <w:shd w:val="clear" w:color="auto" w:fill="D3DFEE" w:themeFill="accent1" w:themeFillTint="3F"/>
          </w:tcPr>
          <w:p>
            <w:pPr>
              <w:pStyle w:val="27"/>
              <w:rPr>
                <w:color w:val="auto"/>
              </w:rPr>
            </w:pPr>
            <w:r>
              <w:rPr>
                <w:rFonts w:hint="eastAsia"/>
                <w:color w:val="376092" w:themeColor="accent1" w:themeShade="BF"/>
              </w:rPr>
              <w:t>活性炭吸附+蓄热式催化燃烧</w:t>
            </w:r>
          </w:p>
        </w:tc>
        <w:tc>
          <w:tcPr>
            <w:tcW w:w="1118" w:type="dxa"/>
            <w:tcBorders>
              <w:right w:val="nil"/>
            </w:tcBorders>
            <w:shd w:val="clear" w:color="auto" w:fill="D3DFEE" w:themeFill="accent1" w:themeFillTint="3F"/>
          </w:tcPr>
          <w:p>
            <w:pPr>
              <w:pStyle w:val="27"/>
              <w:rPr>
                <w:color w:val="auto"/>
              </w:rPr>
            </w:pPr>
            <w:r>
              <w:rPr>
                <w:rFonts w:hint="eastAsia"/>
                <w:color w:val="376092" w:themeColor="accent1" w:themeShade="BF"/>
              </w:rPr>
              <w:t>＞90%</w:t>
            </w:r>
          </w:p>
        </w:tc>
        <w:tc>
          <w:tcPr>
            <w:tcW w:w="921"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992"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85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vMerge w:val="continue"/>
          </w:tcPr>
          <w:p>
            <w:pPr>
              <w:pStyle w:val="27"/>
              <w:rPr>
                <w:b/>
                <w:bCs w:val="0"/>
                <w:color w:val="auto"/>
              </w:rPr>
            </w:pPr>
          </w:p>
        </w:tc>
        <w:tc>
          <w:tcPr>
            <w:tcW w:w="1647" w:type="dxa"/>
          </w:tcPr>
          <w:p>
            <w:pPr>
              <w:pStyle w:val="27"/>
              <w:rPr>
                <w:color w:val="auto"/>
              </w:rPr>
            </w:pPr>
            <w:r>
              <w:rPr>
                <w:rFonts w:hint="eastAsia"/>
                <w:color w:val="376092" w:themeColor="accent1" w:themeShade="BF"/>
              </w:rPr>
              <w:t>沸石转轮吸附+蓄热催化燃烧</w:t>
            </w:r>
          </w:p>
        </w:tc>
        <w:tc>
          <w:tcPr>
            <w:tcW w:w="1118" w:type="dxa"/>
          </w:tcPr>
          <w:p>
            <w:pPr>
              <w:pStyle w:val="27"/>
              <w:rPr>
                <w:color w:val="auto"/>
              </w:rPr>
            </w:pPr>
            <w:r>
              <w:rPr>
                <w:rFonts w:hint="eastAsia"/>
                <w:color w:val="376092" w:themeColor="accent1" w:themeShade="BF"/>
              </w:rPr>
              <w:t>＞90%</w:t>
            </w:r>
          </w:p>
        </w:tc>
        <w:tc>
          <w:tcPr>
            <w:tcW w:w="921" w:type="dxa"/>
          </w:tcPr>
          <w:p>
            <w:pPr>
              <w:pStyle w:val="27"/>
              <w:rPr>
                <w:color w:val="auto"/>
              </w:rPr>
            </w:pPr>
            <w:r>
              <w:rPr>
                <w:rFonts w:hint="eastAsia"/>
                <w:color w:val="376092" w:themeColor="accent1" w:themeShade="BF"/>
              </w:rPr>
              <w:t>*****</w:t>
            </w:r>
          </w:p>
        </w:tc>
        <w:tc>
          <w:tcPr>
            <w:tcW w:w="992" w:type="dxa"/>
          </w:tcPr>
          <w:p>
            <w:pPr>
              <w:pStyle w:val="27"/>
              <w:rPr>
                <w:color w:val="auto"/>
              </w:rPr>
            </w:pPr>
            <w:r>
              <w:rPr>
                <w:rFonts w:hint="eastAsia"/>
                <w:color w:val="376092" w:themeColor="accent1" w:themeShade="BF"/>
              </w:rPr>
              <w:t>*****</w:t>
            </w:r>
          </w:p>
        </w:tc>
        <w:tc>
          <w:tcPr>
            <w:tcW w:w="850" w:type="dxa"/>
          </w:tcPr>
          <w:p>
            <w:pPr>
              <w:pStyle w:val="27"/>
              <w:rPr>
                <w:color w:val="auto"/>
              </w:rPr>
            </w:pPr>
            <w:r>
              <w:rPr>
                <w:rFonts w:hint="eastAsia"/>
                <w:color w:val="376092" w:themeColor="accent1" w:themeShade="BF"/>
              </w:rPr>
              <w:t>*****</w:t>
            </w:r>
          </w:p>
        </w:tc>
        <w:tc>
          <w:tcPr>
            <w:tcW w:w="1080" w:type="dxa"/>
          </w:tcPr>
          <w:p>
            <w:pPr>
              <w:pStyle w:val="27"/>
              <w:rPr>
                <w:color w:val="auto"/>
              </w:rPr>
            </w:pPr>
            <w:r>
              <w:rPr>
                <w:rFonts w:hint="eastAsia"/>
                <w:color w:val="376092" w:themeColor="accent1" w:themeShade="BF"/>
              </w:rPr>
              <w:t>*****</w:t>
            </w:r>
          </w:p>
        </w:tc>
        <w:tc>
          <w:tcPr>
            <w:tcW w:w="1080" w:type="dxa"/>
          </w:tcPr>
          <w:p>
            <w:pPr>
              <w:pStyle w:val="27"/>
              <w:rPr>
                <w:color w:val="auto"/>
              </w:rPr>
            </w:pPr>
            <w:r>
              <w:rPr>
                <w:rFonts w:hint="eastAsia"/>
                <w:color w:val="376092" w:themeColor="accent1" w:themeShade="BF"/>
              </w:rPr>
              <w:t>*</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7" w:type="dxa"/>
            <w:vMerge w:val="continue"/>
            <w:tcBorders>
              <w:left w:val="nil"/>
              <w:right w:val="nil"/>
            </w:tcBorders>
            <w:shd w:val="clear" w:color="auto" w:fill="D3DFEE" w:themeFill="accent1" w:themeFillTint="3F"/>
          </w:tcPr>
          <w:p>
            <w:pPr>
              <w:pStyle w:val="27"/>
              <w:rPr>
                <w:b/>
                <w:bCs w:val="0"/>
                <w:color w:val="auto"/>
              </w:rPr>
            </w:pPr>
          </w:p>
        </w:tc>
        <w:tc>
          <w:tcPr>
            <w:tcW w:w="1647" w:type="dxa"/>
            <w:tcBorders>
              <w:right w:val="nil"/>
            </w:tcBorders>
            <w:shd w:val="clear" w:color="auto" w:fill="D3DFEE" w:themeFill="accent1" w:themeFillTint="3F"/>
          </w:tcPr>
          <w:p>
            <w:pPr>
              <w:pStyle w:val="27"/>
              <w:rPr>
                <w:color w:val="auto"/>
              </w:rPr>
            </w:pPr>
            <w:r>
              <w:rPr>
                <w:rFonts w:hint="eastAsia"/>
                <w:color w:val="376092" w:themeColor="accent1" w:themeShade="BF"/>
              </w:rPr>
              <w:t>活性炭吸附+冷凝</w:t>
            </w:r>
          </w:p>
        </w:tc>
        <w:tc>
          <w:tcPr>
            <w:tcW w:w="1118" w:type="dxa"/>
            <w:tcBorders>
              <w:right w:val="nil"/>
            </w:tcBorders>
            <w:shd w:val="clear" w:color="auto" w:fill="D3DFEE" w:themeFill="accent1" w:themeFillTint="3F"/>
          </w:tcPr>
          <w:p>
            <w:pPr>
              <w:pStyle w:val="27"/>
              <w:rPr>
                <w:color w:val="auto"/>
              </w:rPr>
            </w:pPr>
            <w:r>
              <w:rPr>
                <w:rFonts w:hint="eastAsia"/>
                <w:color w:val="376092" w:themeColor="accent1" w:themeShade="BF"/>
              </w:rPr>
              <w:t>40%-60%</w:t>
            </w:r>
          </w:p>
        </w:tc>
        <w:tc>
          <w:tcPr>
            <w:tcW w:w="921"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992"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85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c>
          <w:tcPr>
            <w:tcW w:w="1080" w:type="dxa"/>
            <w:tcBorders>
              <w:right w:val="nil"/>
            </w:tcBorders>
            <w:shd w:val="clear" w:color="auto" w:fill="D3DFEE" w:themeFill="accent1" w:themeFillTint="3F"/>
          </w:tcPr>
          <w:p>
            <w:pPr>
              <w:pStyle w:val="27"/>
              <w:rPr>
                <w:color w:val="auto"/>
              </w:rPr>
            </w:pPr>
            <w:r>
              <w:rPr>
                <w:rFonts w:hint="eastAsia"/>
                <w:color w:val="376092" w:themeColor="accent1" w:themeShade="BF"/>
              </w:rPr>
              <w:t>***</w:t>
            </w:r>
          </w:p>
        </w:tc>
      </w:tr>
    </w:tbl>
    <w:p>
      <w:pPr>
        <w:pStyle w:val="22"/>
        <w:spacing w:before="156" w:after="156"/>
        <w:ind w:firstLine="0" w:firstLineChars="0"/>
      </w:pPr>
      <w:bookmarkStart w:id="12" w:name="_Toc14276437"/>
      <w:r>
        <w:t>5.</w:t>
      </w:r>
      <w:r>
        <w:rPr>
          <w:rFonts w:hint="eastAsia"/>
        </w:rPr>
        <w:t>管理要求</w:t>
      </w:r>
      <w:bookmarkEnd w:id="12"/>
    </w:p>
    <w:p>
      <w:pPr>
        <w:pStyle w:val="23"/>
        <w:spacing w:before="156" w:after="156"/>
        <w:ind w:firstLine="0" w:firstLineChars="0"/>
      </w:pPr>
      <w:bookmarkStart w:id="13" w:name="_Toc14276438"/>
      <w:r>
        <w:t>5</w:t>
      </w:r>
      <w:r>
        <w:rPr>
          <w:rFonts w:hint="eastAsia"/>
        </w:rPr>
        <w:t>.1企业管理要求</w:t>
      </w:r>
      <w:bookmarkEnd w:id="13"/>
    </w:p>
    <w:p>
      <w:pPr>
        <w:pStyle w:val="25"/>
        <w:ind w:firstLine="0" w:firstLineChars="0"/>
      </w:pPr>
      <w:r>
        <w:rPr>
          <w:rFonts w:hint="eastAsia"/>
        </w:rPr>
        <w:t>5.1.1 企业应对治理设施的正常运行和安全管理负责。</w:t>
      </w:r>
    </w:p>
    <w:p>
      <w:pPr>
        <w:pStyle w:val="25"/>
        <w:ind w:firstLine="0" w:firstLineChars="0"/>
      </w:pPr>
      <w:r>
        <w:rPr>
          <w:rFonts w:hint="eastAsia"/>
        </w:rPr>
        <w:t>5.1.2 治理设施的管理应纳入生产管理中，配备专业管理人员和技术人员，并对其进行培训，使管理和运行人员掌握治理设备及其它附属设施的具体操作和应急情况下的处理措施。</w:t>
      </w:r>
    </w:p>
    <w:p>
      <w:pPr>
        <w:pStyle w:val="25"/>
        <w:ind w:firstLine="0" w:firstLineChars="0"/>
      </w:pPr>
      <w:r>
        <w:rPr>
          <w:rFonts w:hint="eastAsia"/>
        </w:rPr>
        <w:t>5.1.3 企业应根据实际生产工况和治理设施的设计标准，建立相关的各项规章制度以及运行、维护和操作规程，明确耗材的更换周期和设施的检查周期，建立主要设备运行状况的台账制度，保证设施正常运行。</w:t>
      </w:r>
    </w:p>
    <w:p>
      <w:pPr>
        <w:pStyle w:val="25"/>
        <w:ind w:firstLine="0" w:firstLineChars="0"/>
      </w:pPr>
      <w:r>
        <w:rPr>
          <w:rFonts w:hint="eastAsia"/>
        </w:rPr>
        <w:t>5.1.4 企业应建立治理工程运行状况、设施维护等的记录制度，主要维护记录内容包括：治理装置的启动、停止时间；吸附剂、吸收剂、过滤材料、催化剂等的质量分析数据、采购量、使用量及更换时间；治理装置运行工艺控制参数，至少包括治理设备进、出口浓度和吸附装置内温度；主要设备维修情况；运行事故及维修情况；定期检验、评价及评估情况；吸附法、吸收法产生的危险废物、污水等处置情况。</w:t>
      </w:r>
    </w:p>
    <w:p>
      <w:pPr>
        <w:pStyle w:val="25"/>
        <w:ind w:firstLine="0" w:firstLineChars="0"/>
      </w:pPr>
      <w:r>
        <w:rPr>
          <w:rFonts w:hint="eastAsia"/>
        </w:rPr>
        <w:t>5.1.5 由于紧急事故或设备维修等原因造成治理设备停止运行时，应立即报告当地环境保护行政主管部门。</w:t>
      </w:r>
      <w:bookmarkStart w:id="15" w:name="_GoBack"/>
      <w:bookmarkEnd w:id="15"/>
    </w:p>
    <w:p>
      <w:pPr>
        <w:pStyle w:val="25"/>
        <w:ind w:firstLine="0" w:firstLineChars="0"/>
      </w:pPr>
      <w:r>
        <w:rPr>
          <w:rFonts w:hint="eastAsia"/>
        </w:rPr>
        <w:t>5.1.6 企业必须对治理设施的安全运行负责，编制与治理设施相关的事故火灾、爆炸等应急救援预案，配备应急救援人员和器材，并定期开展应急演练。</w:t>
      </w:r>
    </w:p>
    <w:p>
      <w:pPr>
        <w:pStyle w:val="23"/>
        <w:spacing w:before="156" w:after="156"/>
        <w:ind w:firstLine="0" w:firstLineChars="0"/>
      </w:pPr>
      <w:bookmarkStart w:id="14" w:name="_Toc14276439"/>
      <w:r>
        <w:t>5</w:t>
      </w:r>
      <w:r>
        <w:rPr>
          <w:rFonts w:hint="eastAsia"/>
        </w:rPr>
        <w:t>.2环保部门监管要求</w:t>
      </w:r>
      <w:bookmarkEnd w:id="14"/>
    </w:p>
    <w:p>
      <w:pPr>
        <w:pStyle w:val="25"/>
        <w:ind w:firstLine="0" w:firstLineChars="0"/>
      </w:pPr>
      <w:r>
        <w:rPr>
          <w:rFonts w:hint="eastAsia"/>
        </w:rPr>
        <w:t>5.2.1 检查企业与治理设备相关的各项规章制度，以及运行、维护和操作规程，核查治理设施运行过程的维护记录和台账。</w:t>
      </w:r>
    </w:p>
    <w:p>
      <w:pPr>
        <w:pStyle w:val="25"/>
        <w:ind w:firstLine="0" w:firstLineChars="0"/>
      </w:pPr>
      <w:r>
        <w:rPr>
          <w:rFonts w:hint="eastAsia"/>
        </w:rPr>
        <w:t>5.2.2 核查治理设施耗材（吸附剂、吸收剂、过滤材料、催化剂等）的流转记录。包括采购记录（含采购时间、采购量及质量分析数据）、更换时间与更换量的维护记录。</w:t>
      </w:r>
    </w:p>
    <w:p>
      <w:pPr>
        <w:pStyle w:val="25"/>
        <w:ind w:firstLine="0" w:firstLineChars="0"/>
      </w:pPr>
      <w:r>
        <w:rPr>
          <w:rFonts w:hint="eastAsia"/>
        </w:rPr>
        <w:t>5.2.3 按照治理设施使用要求和操作规程，依据国家及地方相关标准，对治理设施进行定期监测，评估其治理效率。</w:t>
      </w:r>
    </w:p>
    <w:p>
      <w:pPr>
        <w:pStyle w:val="25"/>
        <w:ind w:firstLine="0" w:firstLineChars="0"/>
        <w:sectPr>
          <w:headerReference r:id="rId7" w:type="default"/>
          <w:pgSz w:w="11906" w:h="16838"/>
          <w:pgMar w:top="1440" w:right="1800" w:bottom="1440" w:left="1800" w:header="851" w:footer="992" w:gutter="0"/>
          <w:cols w:space="425" w:num="1"/>
          <w:docGrid w:type="lines" w:linePitch="312" w:charSpace="0"/>
        </w:sectPr>
      </w:pPr>
      <w:r>
        <w:rPr>
          <w:rFonts w:hint="eastAsia"/>
        </w:rPr>
        <w:t>5.2.4 核查治理过程产生的危险废物与二次污染物是否得到有效处置。</w:t>
      </w:r>
    </w:p>
    <w:p>
      <w:pPr>
        <w:pStyle w:val="25"/>
      </w:pPr>
      <w:r>
        <w:rPr>
          <w:rFonts w:hint="eastAsia"/>
        </w:rPr>
        <w:t>附件1:</w:t>
      </w:r>
    </w:p>
    <w:p>
      <w:pPr>
        <w:pStyle w:val="25"/>
        <w:jc w:val="center"/>
      </w:pPr>
      <w:r>
        <w:rPr>
          <w:rFonts w:hint="eastAsia"/>
        </w:rPr>
        <w:t>表1  金属表面涂装行业可替代环保涂料前后对比</w:t>
      </w:r>
    </w:p>
    <w:tbl>
      <w:tblPr>
        <w:tblStyle w:val="35"/>
        <w:tblW w:w="9477" w:type="dxa"/>
        <w:tblInd w:w="0" w:type="dxa"/>
        <w:tblLayout w:type="fixed"/>
        <w:tblCellMar>
          <w:top w:w="0" w:type="dxa"/>
          <w:left w:w="108" w:type="dxa"/>
          <w:bottom w:w="0" w:type="dxa"/>
          <w:right w:w="108" w:type="dxa"/>
        </w:tblCellMar>
      </w:tblPr>
      <w:tblGrid>
        <w:gridCol w:w="675"/>
        <w:gridCol w:w="1147"/>
        <w:gridCol w:w="1404"/>
        <w:gridCol w:w="1276"/>
        <w:gridCol w:w="1418"/>
        <w:gridCol w:w="2268"/>
        <w:gridCol w:w="1289"/>
      </w:tblGrid>
      <w:tr>
        <w:tblPrEx>
          <w:tblCellMar>
            <w:top w:w="0" w:type="dxa"/>
            <w:left w:w="108" w:type="dxa"/>
            <w:bottom w:w="0" w:type="dxa"/>
            <w:right w:w="108" w:type="dxa"/>
          </w:tblCellMar>
        </w:tblPrEx>
        <w:trPr>
          <w:trHeight w:val="144" w:hRule="atLeast"/>
        </w:trPr>
        <w:tc>
          <w:tcPr>
            <w:tcW w:w="675" w:type="dxa"/>
            <w:vMerge w:val="restart"/>
            <w:tcBorders>
              <w:top w:val="single" w:color="000000" w:themeColor="text1" w:sz="8" w:space="0"/>
              <w:left w:val="nil"/>
              <w:bottom w:val="single" w:color="000000" w:themeColor="text1" w:sz="8" w:space="0"/>
              <w:right w:val="nil"/>
              <w:insideH w:val="single" w:sz="8" w:space="0"/>
              <w:insideV w:val="nil"/>
            </w:tcBorders>
          </w:tcPr>
          <w:p>
            <w:pPr>
              <w:spacing w:before="0" w:after="0" w:line="240" w:lineRule="auto"/>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类型</w:t>
            </w:r>
          </w:p>
        </w:tc>
        <w:tc>
          <w:tcPr>
            <w:tcW w:w="3827" w:type="dxa"/>
            <w:gridSpan w:val="3"/>
            <w:tcBorders>
              <w:top w:val="single" w:color="000000" w:themeColor="text1" w:sz="8" w:space="0"/>
              <w:bottom w:val="single" w:color="000000" w:themeColor="text1" w:sz="8" w:space="0"/>
              <w:right w:val="nil"/>
              <w:insideH w:val="single" w:sz="8" w:space="0"/>
              <w:insideV w:val="nil"/>
            </w:tcBorders>
          </w:tcPr>
          <w:p>
            <w:pPr>
              <w:spacing w:before="0" w:after="0" w:line="240" w:lineRule="auto"/>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含VOCs原辅材料</w:t>
            </w:r>
          </w:p>
        </w:tc>
        <w:tc>
          <w:tcPr>
            <w:tcW w:w="4975" w:type="dxa"/>
            <w:gridSpan w:val="3"/>
            <w:tcBorders>
              <w:top w:val="single" w:color="000000" w:themeColor="text1" w:sz="8" w:space="0"/>
              <w:bottom w:val="single" w:color="000000" w:themeColor="text1" w:sz="8" w:space="0"/>
              <w:right w:val="nil"/>
              <w:insideH w:val="single" w:sz="8" w:space="0"/>
              <w:insideV w:val="nil"/>
            </w:tcBorders>
          </w:tcPr>
          <w:p>
            <w:pPr>
              <w:spacing w:before="0" w:after="0" w:line="240" w:lineRule="auto"/>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可替代原辅材料</w:t>
            </w:r>
          </w:p>
        </w:tc>
      </w:tr>
      <w:tr>
        <w:tblPrEx>
          <w:tblCellMar>
            <w:top w:w="0" w:type="dxa"/>
            <w:left w:w="108" w:type="dxa"/>
            <w:bottom w:w="0" w:type="dxa"/>
            <w:right w:w="108" w:type="dxa"/>
          </w:tblCellMar>
        </w:tblPrEx>
        <w:trPr>
          <w:trHeight w:val="144" w:hRule="atLeast"/>
        </w:trPr>
        <w:tc>
          <w:tcPr>
            <w:tcW w:w="675" w:type="dxa"/>
            <w:vMerge w:val="continue"/>
            <w:tcBorders>
              <w:left w:val="nil"/>
              <w:bottom w:val="single" w:color="auto" w:sz="4" w:space="0"/>
              <w:right w:val="nil"/>
            </w:tcBorders>
            <w:shd w:val="clear" w:color="auto" w:fill="BFBFBF" w:themeFill="text1" w:themeFillTint="3F"/>
          </w:tcPr>
          <w:p>
            <w:pPr>
              <w:rPr>
                <w:rFonts w:ascii="Times New Roman" w:hAnsi="Times New Roman"/>
                <w:b w:val="0"/>
                <w:bCs w:val="0"/>
                <w:color w:val="000000" w:themeColor="text1" w:themeShade="BF"/>
              </w:rPr>
            </w:pPr>
          </w:p>
        </w:tc>
        <w:tc>
          <w:tcPr>
            <w:tcW w:w="1147"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类型</w:t>
            </w:r>
          </w:p>
        </w:tc>
        <w:tc>
          <w:tcPr>
            <w:tcW w:w="1404"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主要成分</w:t>
            </w:r>
          </w:p>
        </w:tc>
        <w:tc>
          <w:tcPr>
            <w:tcW w:w="1276"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VOCs含量</w:t>
            </w:r>
          </w:p>
        </w:tc>
        <w:tc>
          <w:tcPr>
            <w:tcW w:w="1418"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类型</w:t>
            </w:r>
          </w:p>
        </w:tc>
        <w:tc>
          <w:tcPr>
            <w:tcW w:w="2268"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主要成分</w:t>
            </w:r>
          </w:p>
        </w:tc>
        <w:tc>
          <w:tcPr>
            <w:tcW w:w="1289"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VOCs含量</w:t>
            </w:r>
          </w:p>
        </w:tc>
      </w:tr>
      <w:tr>
        <w:tblPrEx>
          <w:tblCellMar>
            <w:top w:w="0" w:type="dxa"/>
            <w:left w:w="108" w:type="dxa"/>
            <w:bottom w:w="0" w:type="dxa"/>
            <w:right w:w="108" w:type="dxa"/>
          </w:tblCellMar>
        </w:tblPrEx>
        <w:trPr>
          <w:trHeight w:val="144" w:hRule="atLeast"/>
        </w:trPr>
        <w:tc>
          <w:tcPr>
            <w:tcW w:w="675" w:type="dxa"/>
            <w:vMerge w:val="restart"/>
            <w:tcBorders>
              <w:top w:val="single" w:color="auto" w:sz="4" w:space="0"/>
            </w:tcBorders>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溶剂型</w:t>
            </w:r>
          </w:p>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涂料</w:t>
            </w:r>
          </w:p>
        </w:tc>
        <w:tc>
          <w:tcPr>
            <w:tcW w:w="1147"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环氧漆</w:t>
            </w:r>
          </w:p>
        </w:tc>
        <w:tc>
          <w:tcPr>
            <w:tcW w:w="1404"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环氧树脂、体质颜料及固化剂</w:t>
            </w:r>
          </w:p>
        </w:tc>
        <w:tc>
          <w:tcPr>
            <w:tcW w:w="1276"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约30%</w:t>
            </w:r>
          </w:p>
        </w:tc>
        <w:tc>
          <w:tcPr>
            <w:tcW w:w="1418"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水性环氧树脂涂料</w:t>
            </w:r>
          </w:p>
        </w:tc>
        <w:tc>
          <w:tcPr>
            <w:tcW w:w="2268"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水性环氧乳液、水性环氧固化剂</w:t>
            </w:r>
          </w:p>
        </w:tc>
        <w:tc>
          <w:tcPr>
            <w:tcW w:w="1289"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低于10%</w:t>
            </w:r>
          </w:p>
        </w:tc>
      </w:tr>
      <w:tr>
        <w:tblPrEx>
          <w:tblCellMar>
            <w:top w:w="0" w:type="dxa"/>
            <w:left w:w="108" w:type="dxa"/>
            <w:bottom w:w="0" w:type="dxa"/>
            <w:right w:w="108" w:type="dxa"/>
          </w:tblCellMar>
        </w:tblPrEx>
        <w:trPr>
          <w:trHeight w:val="144" w:hRule="atLeast"/>
        </w:trPr>
        <w:tc>
          <w:tcPr>
            <w:tcW w:w="675" w:type="dxa"/>
            <w:vMerge w:val="continue"/>
            <w:tcBorders>
              <w:left w:val="nil"/>
              <w:right w:val="nil"/>
            </w:tcBorders>
            <w:shd w:val="clear" w:color="auto" w:fill="BFBFBF" w:themeFill="text1" w:themeFillTint="3F"/>
          </w:tcPr>
          <w:p>
            <w:pPr>
              <w:rPr>
                <w:rFonts w:ascii="Times New Roman" w:hAnsi="Times New Roman"/>
                <w:b w:val="0"/>
                <w:bCs w:val="0"/>
                <w:color w:val="000000" w:themeColor="text1" w:themeShade="BF"/>
              </w:rPr>
            </w:pPr>
          </w:p>
        </w:tc>
        <w:tc>
          <w:tcPr>
            <w:tcW w:w="1147"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硝基漆</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（NC漆）</w:t>
            </w:r>
          </w:p>
        </w:tc>
        <w:tc>
          <w:tcPr>
            <w:tcW w:w="1404"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甲苯、二甲苯、乙酸正丁酯、2- 丁酮、甲醇</w:t>
            </w:r>
          </w:p>
        </w:tc>
        <w:tc>
          <w:tcPr>
            <w:tcW w:w="1276"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35%～45%</w:t>
            </w:r>
          </w:p>
        </w:tc>
        <w:tc>
          <w:tcPr>
            <w:tcW w:w="1418"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水性涂料</w:t>
            </w:r>
          </w:p>
        </w:tc>
        <w:tc>
          <w:tcPr>
            <w:tcW w:w="2268"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醚类物质</w:t>
            </w:r>
          </w:p>
        </w:tc>
        <w:tc>
          <w:tcPr>
            <w:tcW w:w="1289"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6.5%～10%</w:t>
            </w:r>
          </w:p>
        </w:tc>
      </w:tr>
      <w:tr>
        <w:tblPrEx>
          <w:tblCellMar>
            <w:top w:w="0" w:type="dxa"/>
            <w:left w:w="108" w:type="dxa"/>
            <w:bottom w:w="0" w:type="dxa"/>
            <w:right w:w="108" w:type="dxa"/>
          </w:tblCellMar>
        </w:tblPrEx>
        <w:trPr>
          <w:trHeight w:val="315" w:hRule="atLeast"/>
        </w:trPr>
        <w:tc>
          <w:tcPr>
            <w:tcW w:w="675" w:type="dxa"/>
            <w:vMerge w:val="continue"/>
          </w:tcPr>
          <w:p>
            <w:pPr>
              <w:rPr>
                <w:rFonts w:ascii="Times New Roman" w:hAnsi="Times New Roman"/>
                <w:b w:val="0"/>
                <w:bCs w:val="0"/>
                <w:color w:val="000000" w:themeColor="text1" w:themeShade="BF"/>
              </w:rPr>
            </w:pPr>
          </w:p>
        </w:tc>
        <w:tc>
          <w:tcPr>
            <w:tcW w:w="1147" w:type="dxa"/>
            <w:vMerge w:val="restart"/>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聚氨酯漆</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（PU漆）</w:t>
            </w:r>
          </w:p>
        </w:tc>
        <w:tc>
          <w:tcPr>
            <w:tcW w:w="1404" w:type="dxa"/>
            <w:vMerge w:val="restart"/>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二甲苯、甲苯、环己酮、乙酸丁酯、乙酸乙酯、醋酸丁酯</w:t>
            </w:r>
          </w:p>
        </w:tc>
        <w:tc>
          <w:tcPr>
            <w:tcW w:w="1276" w:type="dxa"/>
            <w:vMerge w:val="restart"/>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28%～66%</w:t>
            </w:r>
          </w:p>
        </w:tc>
        <w:tc>
          <w:tcPr>
            <w:tcW w:w="1418"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紫外光固化涂料</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（UV漆）</w:t>
            </w:r>
          </w:p>
        </w:tc>
        <w:tc>
          <w:tcPr>
            <w:tcW w:w="2268"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三丙二醇二丙烯酸酯、三羟甲基丙烷三丙烯酸酯、三丙二醇二丙烯酸酯、二甲苯、醋酸丁酯</w:t>
            </w:r>
          </w:p>
        </w:tc>
        <w:tc>
          <w:tcPr>
            <w:tcW w:w="1289"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4.5%～20%</w:t>
            </w:r>
          </w:p>
        </w:tc>
      </w:tr>
      <w:tr>
        <w:tblPrEx>
          <w:tblCellMar>
            <w:top w:w="0" w:type="dxa"/>
            <w:left w:w="108" w:type="dxa"/>
            <w:bottom w:w="0" w:type="dxa"/>
            <w:right w:w="108" w:type="dxa"/>
          </w:tblCellMar>
        </w:tblPrEx>
        <w:trPr>
          <w:trHeight w:val="315" w:hRule="atLeast"/>
        </w:trPr>
        <w:tc>
          <w:tcPr>
            <w:tcW w:w="675" w:type="dxa"/>
            <w:vMerge w:val="continue"/>
            <w:tcBorders>
              <w:left w:val="nil"/>
              <w:right w:val="nil"/>
            </w:tcBorders>
            <w:shd w:val="clear" w:color="auto" w:fill="BFBFBF" w:themeFill="text1" w:themeFillTint="3F"/>
          </w:tcPr>
          <w:p>
            <w:pPr>
              <w:rPr>
                <w:rFonts w:ascii="Times New Roman" w:hAnsi="Times New Roman"/>
                <w:b w:val="0"/>
                <w:bCs w:val="0"/>
                <w:color w:val="000000" w:themeColor="text1" w:themeShade="BF"/>
              </w:rPr>
            </w:pPr>
          </w:p>
        </w:tc>
        <w:tc>
          <w:tcPr>
            <w:tcW w:w="1147" w:type="dxa"/>
            <w:vMerge w:val="continue"/>
            <w:tcBorders>
              <w:right w:val="nil"/>
            </w:tcBorders>
            <w:shd w:val="clear" w:color="auto" w:fill="BFBFBF" w:themeFill="text1" w:themeFillTint="3F"/>
          </w:tcPr>
          <w:p>
            <w:pPr>
              <w:rPr>
                <w:rFonts w:ascii="Times New Roman" w:hAnsi="Times New Roman"/>
                <w:color w:val="000000" w:themeColor="text1" w:themeShade="BF"/>
              </w:rPr>
            </w:pPr>
          </w:p>
        </w:tc>
        <w:tc>
          <w:tcPr>
            <w:tcW w:w="1404" w:type="dxa"/>
            <w:vMerge w:val="continue"/>
            <w:tcBorders>
              <w:right w:val="nil"/>
            </w:tcBorders>
            <w:shd w:val="clear" w:color="auto" w:fill="BFBFBF" w:themeFill="text1" w:themeFillTint="3F"/>
          </w:tcPr>
          <w:p>
            <w:pPr>
              <w:rPr>
                <w:rFonts w:ascii="Times New Roman" w:hAnsi="Times New Roman"/>
                <w:color w:val="000000" w:themeColor="text1" w:themeShade="BF"/>
              </w:rPr>
            </w:pPr>
          </w:p>
        </w:tc>
        <w:tc>
          <w:tcPr>
            <w:tcW w:w="1276" w:type="dxa"/>
            <w:vMerge w:val="continue"/>
            <w:tcBorders>
              <w:right w:val="nil"/>
            </w:tcBorders>
            <w:shd w:val="clear" w:color="auto" w:fill="BFBFBF" w:themeFill="text1" w:themeFillTint="3F"/>
          </w:tcPr>
          <w:p>
            <w:pPr>
              <w:rPr>
                <w:rFonts w:ascii="Times New Roman" w:hAnsi="Times New Roman"/>
                <w:color w:val="000000" w:themeColor="text1" w:themeShade="BF"/>
              </w:rPr>
            </w:pPr>
          </w:p>
        </w:tc>
        <w:tc>
          <w:tcPr>
            <w:tcW w:w="1418"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电子束固化涂料</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（EB涂料）</w:t>
            </w:r>
          </w:p>
        </w:tc>
        <w:tc>
          <w:tcPr>
            <w:tcW w:w="2268"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预聚物树脂（环氧丙烯酸酯、聚酯丙烯酸酯、聚氨酯丙烯酸酯、聚醚丙烯酸脂</w:t>
            </w:r>
            <w:r>
              <w:rPr>
                <w:rFonts w:hint="eastAsia" w:ascii="宋体" w:hAnsi="Times New Roman" w:eastAsia="宋体"/>
                <w:color w:val="000000" w:themeColor="text1" w:themeShade="BF"/>
              </w:rPr>
              <w:t>等）、</w:t>
            </w:r>
            <w:r>
              <w:rPr>
                <w:rFonts w:hint="eastAsia" w:ascii="Times New Roman" w:hAnsi="Times New Roman"/>
                <w:color w:val="000000" w:themeColor="text1" w:themeShade="BF"/>
              </w:rPr>
              <w:t>稀释剂单体</w:t>
            </w:r>
          </w:p>
        </w:tc>
        <w:tc>
          <w:tcPr>
            <w:tcW w:w="1289"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低于2%</w:t>
            </w:r>
          </w:p>
        </w:tc>
      </w:tr>
      <w:tr>
        <w:tblPrEx>
          <w:tblCellMar>
            <w:top w:w="0" w:type="dxa"/>
            <w:left w:w="108" w:type="dxa"/>
            <w:bottom w:w="0" w:type="dxa"/>
            <w:right w:w="108" w:type="dxa"/>
          </w:tblCellMar>
        </w:tblPrEx>
        <w:trPr>
          <w:trHeight w:val="315" w:hRule="atLeast"/>
        </w:trPr>
        <w:tc>
          <w:tcPr>
            <w:tcW w:w="675" w:type="dxa"/>
            <w:vMerge w:val="continue"/>
          </w:tcPr>
          <w:p>
            <w:pPr>
              <w:rPr>
                <w:rFonts w:ascii="Times New Roman" w:hAnsi="Times New Roman"/>
                <w:b w:val="0"/>
                <w:bCs w:val="0"/>
                <w:color w:val="000000" w:themeColor="text1" w:themeShade="BF"/>
              </w:rPr>
            </w:pPr>
          </w:p>
        </w:tc>
        <w:tc>
          <w:tcPr>
            <w:tcW w:w="1147"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醇酸漆</w:t>
            </w:r>
          </w:p>
        </w:tc>
        <w:tc>
          <w:tcPr>
            <w:tcW w:w="1404"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醇酸树脂</w:t>
            </w:r>
          </w:p>
        </w:tc>
        <w:tc>
          <w:tcPr>
            <w:tcW w:w="1276"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大于40%</w:t>
            </w:r>
          </w:p>
        </w:tc>
        <w:tc>
          <w:tcPr>
            <w:tcW w:w="1418"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水性醇酸树脂</w:t>
            </w:r>
          </w:p>
        </w:tc>
        <w:tc>
          <w:tcPr>
            <w:tcW w:w="2268"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多元醇、多元酸、植物油（酸）或其他脂肪酸、有机胺、醇醚类</w:t>
            </w:r>
          </w:p>
        </w:tc>
        <w:tc>
          <w:tcPr>
            <w:tcW w:w="1289"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低于10%</w:t>
            </w:r>
          </w:p>
        </w:tc>
      </w:tr>
      <w:tr>
        <w:tblPrEx>
          <w:tblCellMar>
            <w:top w:w="0" w:type="dxa"/>
            <w:left w:w="108" w:type="dxa"/>
            <w:bottom w:w="0" w:type="dxa"/>
            <w:right w:w="108" w:type="dxa"/>
          </w:tblCellMar>
        </w:tblPrEx>
        <w:trPr>
          <w:trHeight w:val="315" w:hRule="atLeast"/>
        </w:trPr>
        <w:tc>
          <w:tcPr>
            <w:tcW w:w="675" w:type="dxa"/>
            <w:vMerge w:val="continue"/>
            <w:tcBorders>
              <w:left w:val="nil"/>
              <w:bottom w:val="single" w:color="auto" w:sz="4" w:space="0"/>
              <w:right w:val="nil"/>
            </w:tcBorders>
            <w:shd w:val="clear" w:color="auto" w:fill="BFBFBF" w:themeFill="text1" w:themeFillTint="3F"/>
          </w:tcPr>
          <w:p>
            <w:pPr>
              <w:rPr>
                <w:rFonts w:ascii="Times New Roman" w:hAnsi="Times New Roman"/>
                <w:b w:val="0"/>
                <w:bCs w:val="0"/>
                <w:color w:val="000000" w:themeColor="text1" w:themeShade="BF"/>
              </w:rPr>
            </w:pPr>
          </w:p>
        </w:tc>
        <w:tc>
          <w:tcPr>
            <w:tcW w:w="1147"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含异氰脲酸三缩水甘油酯（TGIC）的粉末涂料</w:t>
            </w:r>
          </w:p>
        </w:tc>
        <w:tc>
          <w:tcPr>
            <w:tcW w:w="1404"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异氰脲酸三缩水甘油酯（TGIC）</w:t>
            </w:r>
          </w:p>
        </w:tc>
        <w:tc>
          <w:tcPr>
            <w:tcW w:w="1276"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约28%</w:t>
            </w:r>
          </w:p>
        </w:tc>
        <w:tc>
          <w:tcPr>
            <w:tcW w:w="1418"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不含异氰脲酸三缩水甘油酯（TGIC）的粉末涂料</w:t>
            </w:r>
          </w:p>
        </w:tc>
        <w:tc>
          <w:tcPr>
            <w:tcW w:w="2268"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环氧树脂、羟烷基酰胺等</w:t>
            </w:r>
          </w:p>
        </w:tc>
        <w:tc>
          <w:tcPr>
            <w:tcW w:w="1289"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675" w:type="dxa"/>
            <w:tcBorders>
              <w:top w:val="single" w:color="auto" w:sz="4" w:space="0"/>
              <w:bottom w:val="single" w:color="auto" w:sz="4" w:space="0"/>
            </w:tcBorders>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颜料</w:t>
            </w:r>
          </w:p>
        </w:tc>
        <w:tc>
          <w:tcPr>
            <w:tcW w:w="1147"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铅基和镉基</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颜料</w:t>
            </w:r>
          </w:p>
        </w:tc>
        <w:tc>
          <w:tcPr>
            <w:tcW w:w="1404"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铅基颜料、镉基颜料</w:t>
            </w:r>
          </w:p>
        </w:tc>
        <w:tc>
          <w:tcPr>
            <w:tcW w:w="1276"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w:t>
            </w:r>
          </w:p>
        </w:tc>
        <w:tc>
          <w:tcPr>
            <w:tcW w:w="1418"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环保稀土颜料</w:t>
            </w:r>
          </w:p>
        </w:tc>
        <w:tc>
          <w:tcPr>
            <w:tcW w:w="2268"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硫化铈等稀土硫化物</w:t>
            </w:r>
          </w:p>
        </w:tc>
        <w:tc>
          <w:tcPr>
            <w:tcW w:w="1289"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w:t>
            </w:r>
          </w:p>
        </w:tc>
      </w:tr>
      <w:tr>
        <w:tblPrEx>
          <w:tblCellMar>
            <w:top w:w="0" w:type="dxa"/>
            <w:left w:w="108" w:type="dxa"/>
            <w:bottom w:w="0" w:type="dxa"/>
            <w:right w:w="108" w:type="dxa"/>
          </w:tblCellMar>
        </w:tblPrEx>
        <w:trPr>
          <w:trHeight w:val="315" w:hRule="atLeast"/>
        </w:trPr>
        <w:tc>
          <w:tcPr>
            <w:tcW w:w="675" w:type="dxa"/>
            <w:tcBorders>
              <w:top w:val="single" w:color="auto" w:sz="4" w:space="0"/>
              <w:left w:val="nil"/>
              <w:bottom w:val="single" w:color="auto" w:sz="4" w:space="0"/>
              <w:right w:val="nil"/>
            </w:tcBorders>
            <w:shd w:val="clear" w:color="auto" w:fill="BFBFBF" w:themeFill="text1" w:themeFillTint="3F"/>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稀释剂</w:t>
            </w:r>
          </w:p>
        </w:tc>
        <w:tc>
          <w:tcPr>
            <w:tcW w:w="1147"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天那水、蓝水、白水</w:t>
            </w:r>
          </w:p>
        </w:tc>
        <w:tc>
          <w:tcPr>
            <w:tcW w:w="1404"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二甲苯、醋酸丁酯、乙酸乙酯、环己酮、乙酸异戊酯</w:t>
            </w:r>
          </w:p>
        </w:tc>
        <w:tc>
          <w:tcPr>
            <w:tcW w:w="1276"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水性稀释剂</w:t>
            </w:r>
          </w:p>
        </w:tc>
        <w:tc>
          <w:tcPr>
            <w:tcW w:w="2268"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w:t>
            </w:r>
          </w:p>
        </w:tc>
        <w:tc>
          <w:tcPr>
            <w:tcW w:w="1289"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675" w:type="dxa"/>
            <w:tcBorders>
              <w:top w:val="single" w:color="auto" w:sz="4" w:space="0"/>
              <w:bottom w:val="single" w:color="auto" w:sz="4" w:space="0"/>
            </w:tcBorders>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固化剂</w:t>
            </w:r>
          </w:p>
        </w:tc>
        <w:tc>
          <w:tcPr>
            <w:tcW w:w="1147"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油性固化剂</w:t>
            </w:r>
          </w:p>
        </w:tc>
        <w:tc>
          <w:tcPr>
            <w:tcW w:w="1404"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二甲苯、醋酸丁酯、醋酸乙酯</w:t>
            </w:r>
          </w:p>
        </w:tc>
        <w:tc>
          <w:tcPr>
            <w:tcW w:w="1276"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水性固化剂</w:t>
            </w:r>
          </w:p>
        </w:tc>
        <w:tc>
          <w:tcPr>
            <w:tcW w:w="2268"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聚氨脂或水性乙醛酸脂等</w:t>
            </w:r>
          </w:p>
        </w:tc>
        <w:tc>
          <w:tcPr>
            <w:tcW w:w="1289"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10%～20%</w:t>
            </w:r>
          </w:p>
        </w:tc>
      </w:tr>
      <w:tr>
        <w:tblPrEx>
          <w:tblCellMar>
            <w:top w:w="0" w:type="dxa"/>
            <w:left w:w="108" w:type="dxa"/>
            <w:bottom w:w="0" w:type="dxa"/>
            <w:right w:w="108" w:type="dxa"/>
          </w:tblCellMar>
        </w:tblPrEx>
        <w:trPr>
          <w:trHeight w:val="315" w:hRule="atLeast"/>
        </w:trPr>
        <w:tc>
          <w:tcPr>
            <w:tcW w:w="675" w:type="dxa"/>
            <w:tcBorders>
              <w:top w:val="single" w:color="auto" w:sz="4" w:space="0"/>
              <w:left w:val="nil"/>
              <w:bottom w:val="single" w:color="auto" w:sz="4" w:space="0"/>
              <w:right w:val="nil"/>
            </w:tcBorders>
            <w:shd w:val="clear" w:color="auto" w:fill="BFBFBF" w:themeFill="text1" w:themeFillTint="3F"/>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表面</w:t>
            </w:r>
          </w:p>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处理剂</w:t>
            </w:r>
          </w:p>
        </w:tc>
        <w:tc>
          <w:tcPr>
            <w:tcW w:w="1147"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磷化液</w:t>
            </w:r>
          </w:p>
        </w:tc>
        <w:tc>
          <w:tcPr>
            <w:tcW w:w="1404"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shd w:val="clear" w:color="auto" w:fill="FFFFFF"/>
              </w:rPr>
              <w:t>磷酸二氢盐</w:t>
            </w:r>
          </w:p>
        </w:tc>
        <w:tc>
          <w:tcPr>
            <w:tcW w:w="1276"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w:t>
            </w:r>
          </w:p>
        </w:tc>
        <w:tc>
          <w:tcPr>
            <w:tcW w:w="1418"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金属表面硅烷处理剂</w:t>
            </w:r>
          </w:p>
        </w:tc>
        <w:tc>
          <w:tcPr>
            <w:tcW w:w="2268"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硅烷偶联剂</w:t>
            </w:r>
          </w:p>
        </w:tc>
        <w:tc>
          <w:tcPr>
            <w:tcW w:w="1289"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w:t>
            </w:r>
          </w:p>
        </w:tc>
      </w:tr>
    </w:tbl>
    <w:p>
      <w:pPr>
        <w:spacing w:line="360" w:lineRule="auto"/>
        <w:ind w:firstLine="480" w:firstLineChars="200"/>
        <w:jc w:val="center"/>
        <w:rPr>
          <w:rFonts w:ascii="Times New Roman" w:hAnsi="Times New Roman"/>
          <w:sz w:val="24"/>
          <w:szCs w:val="24"/>
        </w:rPr>
      </w:pPr>
      <w:r>
        <w:rPr>
          <w:rFonts w:hint="eastAsia" w:ascii="Times New Roman" w:hAnsi="Times New Roman"/>
          <w:sz w:val="24"/>
          <w:szCs w:val="24"/>
        </w:rPr>
        <w:t>表2     家具制造行业可替代环保涂料前后对比</w:t>
      </w:r>
    </w:p>
    <w:tbl>
      <w:tblPr>
        <w:tblStyle w:val="36"/>
        <w:tblW w:w="8979" w:type="dxa"/>
        <w:tblInd w:w="0" w:type="dxa"/>
        <w:tblLayout w:type="fixed"/>
        <w:tblCellMar>
          <w:top w:w="0" w:type="dxa"/>
          <w:left w:w="108" w:type="dxa"/>
          <w:bottom w:w="0" w:type="dxa"/>
          <w:right w:w="108" w:type="dxa"/>
        </w:tblCellMar>
      </w:tblPr>
      <w:tblGrid>
        <w:gridCol w:w="675"/>
        <w:gridCol w:w="1560"/>
        <w:gridCol w:w="1417"/>
        <w:gridCol w:w="1334"/>
        <w:gridCol w:w="1217"/>
        <w:gridCol w:w="1501"/>
        <w:gridCol w:w="1275"/>
      </w:tblGrid>
      <w:tr>
        <w:tblPrEx>
          <w:tblCellMar>
            <w:top w:w="0" w:type="dxa"/>
            <w:left w:w="108" w:type="dxa"/>
            <w:bottom w:w="0" w:type="dxa"/>
            <w:right w:w="108" w:type="dxa"/>
          </w:tblCellMar>
        </w:tblPrEx>
        <w:trPr>
          <w:trHeight w:val="144" w:hRule="atLeast"/>
        </w:trPr>
        <w:tc>
          <w:tcPr>
            <w:tcW w:w="675" w:type="dxa"/>
            <w:vMerge w:val="restart"/>
            <w:tcBorders>
              <w:top w:val="single" w:color="000000" w:themeColor="text1" w:sz="8" w:space="0"/>
              <w:left w:val="nil"/>
              <w:bottom w:val="single" w:color="auto" w:sz="4" w:space="0"/>
              <w:right w:val="nil"/>
              <w:insideV w:val="nil"/>
            </w:tcBorders>
          </w:tcPr>
          <w:p>
            <w:pPr>
              <w:spacing w:before="0" w:after="0" w:line="240" w:lineRule="auto"/>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类型</w:t>
            </w:r>
          </w:p>
        </w:tc>
        <w:tc>
          <w:tcPr>
            <w:tcW w:w="4311" w:type="dxa"/>
            <w:gridSpan w:val="3"/>
            <w:tcBorders>
              <w:top w:val="single" w:color="000000" w:themeColor="text1" w:sz="8" w:space="0"/>
              <w:bottom w:val="nil"/>
              <w:right w:val="nil"/>
              <w:insideV w:val="nil"/>
            </w:tcBorders>
          </w:tcPr>
          <w:p>
            <w:pPr>
              <w:spacing w:before="0" w:after="0" w:line="240" w:lineRule="auto"/>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含VOCs原辅材料</w:t>
            </w:r>
          </w:p>
        </w:tc>
        <w:tc>
          <w:tcPr>
            <w:tcW w:w="3993" w:type="dxa"/>
            <w:gridSpan w:val="3"/>
            <w:tcBorders>
              <w:top w:val="single" w:color="000000" w:themeColor="text1" w:sz="8" w:space="0"/>
              <w:bottom w:val="nil"/>
              <w:right w:val="nil"/>
              <w:insideV w:val="nil"/>
            </w:tcBorders>
          </w:tcPr>
          <w:p>
            <w:pPr>
              <w:spacing w:before="0" w:after="0" w:line="240" w:lineRule="auto"/>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可替代原辅材料</w:t>
            </w:r>
          </w:p>
        </w:tc>
      </w:tr>
      <w:tr>
        <w:tblPrEx>
          <w:tblCellMar>
            <w:top w:w="0" w:type="dxa"/>
            <w:left w:w="108" w:type="dxa"/>
            <w:bottom w:w="0" w:type="dxa"/>
            <w:right w:w="108" w:type="dxa"/>
          </w:tblCellMar>
        </w:tblPrEx>
        <w:trPr>
          <w:trHeight w:val="144" w:hRule="atLeast"/>
        </w:trPr>
        <w:tc>
          <w:tcPr>
            <w:tcW w:w="675" w:type="dxa"/>
            <w:vMerge w:val="continue"/>
            <w:tcBorders>
              <w:top w:val="single" w:color="000000" w:themeColor="text1" w:sz="8" w:space="0"/>
              <w:left w:val="nil"/>
              <w:bottom w:val="single" w:color="auto" w:sz="4" w:space="0"/>
              <w:right w:val="nil"/>
            </w:tcBorders>
            <w:shd w:val="clear" w:color="auto" w:fill="BFBFBF" w:themeFill="text1" w:themeFillTint="3F"/>
          </w:tcPr>
          <w:p>
            <w:pPr>
              <w:rPr>
                <w:rFonts w:ascii="宋体" w:hAnsi="Times New Roman" w:eastAsia="宋体"/>
                <w:b w:val="0"/>
                <w:bCs w:val="0"/>
                <w:color w:val="000000" w:themeColor="text1" w:themeShade="BF"/>
                <w:sz w:val="20"/>
                <w:szCs w:val="20"/>
              </w:rPr>
            </w:pPr>
          </w:p>
        </w:tc>
        <w:tc>
          <w:tcPr>
            <w:tcW w:w="1560"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类型</w:t>
            </w:r>
          </w:p>
        </w:tc>
        <w:tc>
          <w:tcPr>
            <w:tcW w:w="1417"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主要成分</w:t>
            </w:r>
          </w:p>
        </w:tc>
        <w:tc>
          <w:tcPr>
            <w:tcW w:w="1334"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VOCs含量</w:t>
            </w:r>
          </w:p>
        </w:tc>
        <w:tc>
          <w:tcPr>
            <w:tcW w:w="1217"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类型</w:t>
            </w:r>
          </w:p>
        </w:tc>
        <w:tc>
          <w:tcPr>
            <w:tcW w:w="1501"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主要成分</w:t>
            </w:r>
          </w:p>
        </w:tc>
        <w:tc>
          <w:tcPr>
            <w:tcW w:w="1275" w:type="dxa"/>
            <w:tcBorders>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VOCs含量</w:t>
            </w:r>
          </w:p>
        </w:tc>
      </w:tr>
      <w:tr>
        <w:tblPrEx>
          <w:tblCellMar>
            <w:top w:w="0" w:type="dxa"/>
            <w:left w:w="108" w:type="dxa"/>
            <w:bottom w:w="0" w:type="dxa"/>
            <w:right w:w="108" w:type="dxa"/>
          </w:tblCellMar>
        </w:tblPrEx>
        <w:trPr>
          <w:trHeight w:val="144" w:hRule="atLeast"/>
        </w:trPr>
        <w:tc>
          <w:tcPr>
            <w:tcW w:w="675" w:type="dxa"/>
            <w:vMerge w:val="restart"/>
            <w:tcBorders>
              <w:top w:val="single" w:color="auto" w:sz="4" w:space="0"/>
            </w:tcBorders>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溶剂型</w:t>
            </w:r>
          </w:p>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涂料</w:t>
            </w:r>
          </w:p>
        </w:tc>
        <w:tc>
          <w:tcPr>
            <w:tcW w:w="1560" w:type="dxa"/>
            <w:vMerge w:val="restart"/>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聚氨酯涂料</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（PU漆）</w:t>
            </w:r>
          </w:p>
        </w:tc>
        <w:tc>
          <w:tcPr>
            <w:tcW w:w="1417" w:type="dxa"/>
            <w:vMerge w:val="restart"/>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二甲苯、甲苯、环己酮、乙酸丁酯、乙酸乙酯、醋酸丁酯</w:t>
            </w:r>
          </w:p>
        </w:tc>
        <w:tc>
          <w:tcPr>
            <w:tcW w:w="1334" w:type="dxa"/>
            <w:vMerge w:val="restart"/>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35%～45%</w:t>
            </w:r>
          </w:p>
        </w:tc>
        <w:tc>
          <w:tcPr>
            <w:tcW w:w="1217"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紫外光固化涂料</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（UV漆）</w:t>
            </w:r>
          </w:p>
        </w:tc>
        <w:tc>
          <w:tcPr>
            <w:tcW w:w="1501"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三丙二醇二丙烯酸酯、三羟甲基丙烷三丙烯酸酯、三丙二醇二丙烯酸酯、二甲苯、醋酸丁酯</w:t>
            </w:r>
          </w:p>
        </w:tc>
        <w:tc>
          <w:tcPr>
            <w:tcW w:w="1275" w:type="dxa"/>
            <w:tcBorders>
              <w:top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4.5%～20%</w:t>
            </w:r>
          </w:p>
        </w:tc>
      </w:tr>
      <w:tr>
        <w:tblPrEx>
          <w:tblCellMar>
            <w:top w:w="0" w:type="dxa"/>
            <w:left w:w="108" w:type="dxa"/>
            <w:bottom w:w="0" w:type="dxa"/>
            <w:right w:w="108" w:type="dxa"/>
          </w:tblCellMar>
        </w:tblPrEx>
        <w:trPr>
          <w:trHeight w:val="144" w:hRule="atLeast"/>
        </w:trPr>
        <w:tc>
          <w:tcPr>
            <w:tcW w:w="675" w:type="dxa"/>
            <w:vMerge w:val="continue"/>
            <w:tcBorders>
              <w:left w:val="nil"/>
              <w:right w:val="nil"/>
            </w:tcBorders>
            <w:shd w:val="clear" w:color="auto" w:fill="BFBFBF" w:themeFill="text1" w:themeFillTint="3F"/>
          </w:tcPr>
          <w:p>
            <w:pPr>
              <w:rPr>
                <w:rFonts w:ascii="宋体" w:hAnsi="Times New Roman" w:eastAsia="宋体"/>
                <w:b w:val="0"/>
                <w:bCs w:val="0"/>
                <w:color w:val="000000" w:themeColor="text1" w:themeShade="BF"/>
                <w:sz w:val="20"/>
                <w:szCs w:val="20"/>
              </w:rPr>
            </w:pPr>
          </w:p>
        </w:tc>
        <w:tc>
          <w:tcPr>
            <w:tcW w:w="1560" w:type="dxa"/>
            <w:vMerge w:val="continue"/>
            <w:tcBorders>
              <w:right w:val="nil"/>
            </w:tcBorders>
            <w:shd w:val="clear" w:color="auto" w:fill="BFBFBF" w:themeFill="text1" w:themeFillTint="3F"/>
          </w:tcPr>
          <w:p>
            <w:pPr>
              <w:rPr>
                <w:rFonts w:ascii="宋体" w:hAnsi="Times New Roman" w:eastAsia="宋体"/>
                <w:color w:val="000000" w:themeColor="text1" w:themeShade="BF"/>
                <w:sz w:val="20"/>
                <w:szCs w:val="20"/>
              </w:rPr>
            </w:pPr>
          </w:p>
        </w:tc>
        <w:tc>
          <w:tcPr>
            <w:tcW w:w="1417" w:type="dxa"/>
            <w:vMerge w:val="continue"/>
            <w:tcBorders>
              <w:right w:val="nil"/>
            </w:tcBorders>
            <w:shd w:val="clear" w:color="auto" w:fill="BFBFBF" w:themeFill="text1" w:themeFillTint="3F"/>
          </w:tcPr>
          <w:p>
            <w:pPr>
              <w:rPr>
                <w:rFonts w:ascii="宋体" w:hAnsi="Times New Roman" w:eastAsia="宋体"/>
                <w:color w:val="000000" w:themeColor="text1" w:themeShade="BF"/>
                <w:sz w:val="20"/>
                <w:szCs w:val="20"/>
              </w:rPr>
            </w:pPr>
          </w:p>
        </w:tc>
        <w:tc>
          <w:tcPr>
            <w:tcW w:w="1334" w:type="dxa"/>
            <w:vMerge w:val="continue"/>
            <w:tcBorders>
              <w:right w:val="nil"/>
            </w:tcBorders>
            <w:shd w:val="clear" w:color="auto" w:fill="BFBFBF" w:themeFill="text1" w:themeFillTint="3F"/>
          </w:tcPr>
          <w:p>
            <w:pPr>
              <w:rPr>
                <w:rFonts w:ascii="宋体" w:hAnsi="Times New Roman" w:eastAsia="宋体"/>
                <w:color w:val="000000" w:themeColor="text1" w:themeShade="BF"/>
                <w:sz w:val="20"/>
                <w:szCs w:val="20"/>
              </w:rPr>
            </w:pPr>
          </w:p>
        </w:tc>
        <w:tc>
          <w:tcPr>
            <w:tcW w:w="1217"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电子束固化涂料</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（EB涂料）</w:t>
            </w:r>
          </w:p>
        </w:tc>
        <w:tc>
          <w:tcPr>
            <w:tcW w:w="1501"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预聚物树脂（环氧丙烯酸酯、聚酯丙烯酸酯、聚氨酯丙烯酸酯、聚醚丙烯酸脂</w:t>
            </w:r>
            <w:r>
              <w:rPr>
                <w:rFonts w:hint="eastAsia" w:ascii="宋体" w:hAnsi="Times New Roman" w:eastAsia="宋体"/>
                <w:color w:val="000000" w:themeColor="text1" w:themeShade="BF"/>
              </w:rPr>
              <w:t>等）、</w:t>
            </w:r>
            <w:r>
              <w:rPr>
                <w:rFonts w:hint="eastAsia" w:ascii="Times New Roman" w:hAnsi="Times New Roman"/>
                <w:color w:val="000000" w:themeColor="text1" w:themeShade="BF"/>
              </w:rPr>
              <w:t>稀释剂单体</w:t>
            </w:r>
          </w:p>
        </w:tc>
        <w:tc>
          <w:tcPr>
            <w:tcW w:w="1275"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低于2%</w:t>
            </w:r>
          </w:p>
        </w:tc>
      </w:tr>
      <w:tr>
        <w:tblPrEx>
          <w:tblCellMar>
            <w:top w:w="0" w:type="dxa"/>
            <w:left w:w="108" w:type="dxa"/>
            <w:bottom w:w="0" w:type="dxa"/>
            <w:right w:w="108" w:type="dxa"/>
          </w:tblCellMar>
        </w:tblPrEx>
        <w:trPr>
          <w:trHeight w:val="144" w:hRule="atLeast"/>
        </w:trPr>
        <w:tc>
          <w:tcPr>
            <w:tcW w:w="675" w:type="dxa"/>
            <w:vMerge w:val="continue"/>
          </w:tcPr>
          <w:p>
            <w:pPr>
              <w:rPr>
                <w:rFonts w:ascii="宋体" w:hAnsi="Times New Roman" w:eastAsia="宋体"/>
                <w:b w:val="0"/>
                <w:bCs w:val="0"/>
                <w:color w:val="000000" w:themeColor="text1" w:themeShade="BF"/>
                <w:sz w:val="20"/>
                <w:szCs w:val="20"/>
              </w:rPr>
            </w:pPr>
          </w:p>
        </w:tc>
        <w:tc>
          <w:tcPr>
            <w:tcW w:w="1560" w:type="dxa"/>
            <w:vMerge w:val="continue"/>
          </w:tcPr>
          <w:p>
            <w:pPr>
              <w:rPr>
                <w:rFonts w:ascii="宋体" w:hAnsi="Times New Roman" w:eastAsia="宋体"/>
                <w:color w:val="000000" w:themeColor="text1" w:themeShade="BF"/>
                <w:sz w:val="20"/>
                <w:szCs w:val="20"/>
              </w:rPr>
            </w:pPr>
          </w:p>
        </w:tc>
        <w:tc>
          <w:tcPr>
            <w:tcW w:w="1417" w:type="dxa"/>
            <w:vMerge w:val="continue"/>
          </w:tcPr>
          <w:p>
            <w:pPr>
              <w:rPr>
                <w:rFonts w:ascii="宋体" w:hAnsi="Times New Roman" w:eastAsia="宋体"/>
                <w:color w:val="000000" w:themeColor="text1" w:themeShade="BF"/>
                <w:sz w:val="20"/>
                <w:szCs w:val="20"/>
              </w:rPr>
            </w:pPr>
          </w:p>
        </w:tc>
        <w:tc>
          <w:tcPr>
            <w:tcW w:w="1334" w:type="dxa"/>
            <w:vMerge w:val="continue"/>
          </w:tcPr>
          <w:p>
            <w:pPr>
              <w:rPr>
                <w:rFonts w:ascii="宋体" w:hAnsi="Times New Roman" w:eastAsia="宋体"/>
                <w:color w:val="000000" w:themeColor="text1" w:themeShade="BF"/>
                <w:sz w:val="20"/>
                <w:szCs w:val="20"/>
              </w:rPr>
            </w:pPr>
          </w:p>
        </w:tc>
        <w:tc>
          <w:tcPr>
            <w:tcW w:w="1217"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不饱和聚酯涂料</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（PE漆）</w:t>
            </w:r>
          </w:p>
        </w:tc>
        <w:tc>
          <w:tcPr>
            <w:tcW w:w="1501"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主剂（顺丁烯二酸酐、丙二醇等）、引发剂、促进剂</w:t>
            </w:r>
          </w:p>
        </w:tc>
        <w:tc>
          <w:tcPr>
            <w:tcW w:w="1275" w:type="dxa"/>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0%～20%</w:t>
            </w:r>
          </w:p>
        </w:tc>
      </w:tr>
      <w:tr>
        <w:tblPrEx>
          <w:tblCellMar>
            <w:top w:w="0" w:type="dxa"/>
            <w:left w:w="108" w:type="dxa"/>
            <w:bottom w:w="0" w:type="dxa"/>
            <w:right w:w="108" w:type="dxa"/>
          </w:tblCellMar>
        </w:tblPrEx>
        <w:trPr>
          <w:trHeight w:val="144" w:hRule="atLeast"/>
        </w:trPr>
        <w:tc>
          <w:tcPr>
            <w:tcW w:w="675" w:type="dxa"/>
            <w:vMerge w:val="continue"/>
            <w:tcBorders>
              <w:left w:val="nil"/>
              <w:right w:val="nil"/>
            </w:tcBorders>
            <w:shd w:val="clear" w:color="auto" w:fill="BFBFBF" w:themeFill="text1" w:themeFillTint="3F"/>
          </w:tcPr>
          <w:p>
            <w:pPr>
              <w:rPr>
                <w:rFonts w:ascii="宋体" w:hAnsi="Times New Roman" w:eastAsia="宋体"/>
                <w:b w:val="0"/>
                <w:bCs w:val="0"/>
                <w:color w:val="000000" w:themeColor="text1" w:themeShade="BF"/>
                <w:sz w:val="20"/>
                <w:szCs w:val="20"/>
              </w:rPr>
            </w:pPr>
          </w:p>
        </w:tc>
        <w:tc>
          <w:tcPr>
            <w:tcW w:w="1560" w:type="dxa"/>
            <w:vMerge w:val="continue"/>
            <w:tcBorders>
              <w:right w:val="nil"/>
            </w:tcBorders>
            <w:shd w:val="clear" w:color="auto" w:fill="BFBFBF" w:themeFill="text1" w:themeFillTint="3F"/>
          </w:tcPr>
          <w:p>
            <w:pPr>
              <w:rPr>
                <w:rFonts w:ascii="宋体" w:hAnsi="Times New Roman" w:eastAsia="宋体"/>
                <w:color w:val="000000" w:themeColor="text1" w:themeShade="BF"/>
                <w:sz w:val="20"/>
                <w:szCs w:val="20"/>
              </w:rPr>
            </w:pPr>
          </w:p>
        </w:tc>
        <w:tc>
          <w:tcPr>
            <w:tcW w:w="1417" w:type="dxa"/>
            <w:vMerge w:val="continue"/>
            <w:tcBorders>
              <w:right w:val="nil"/>
            </w:tcBorders>
            <w:shd w:val="clear" w:color="auto" w:fill="BFBFBF" w:themeFill="text1" w:themeFillTint="3F"/>
          </w:tcPr>
          <w:p>
            <w:pPr>
              <w:rPr>
                <w:rFonts w:ascii="宋体" w:hAnsi="Times New Roman" w:eastAsia="宋体"/>
                <w:color w:val="000000" w:themeColor="text1" w:themeShade="BF"/>
                <w:sz w:val="20"/>
                <w:szCs w:val="20"/>
              </w:rPr>
            </w:pPr>
          </w:p>
        </w:tc>
        <w:tc>
          <w:tcPr>
            <w:tcW w:w="1334" w:type="dxa"/>
            <w:vMerge w:val="continue"/>
            <w:tcBorders>
              <w:right w:val="nil"/>
            </w:tcBorders>
            <w:shd w:val="clear" w:color="auto" w:fill="BFBFBF" w:themeFill="text1" w:themeFillTint="3F"/>
          </w:tcPr>
          <w:p>
            <w:pPr>
              <w:rPr>
                <w:rFonts w:ascii="宋体" w:hAnsi="Times New Roman" w:eastAsia="宋体"/>
                <w:color w:val="000000" w:themeColor="text1" w:themeShade="BF"/>
                <w:sz w:val="20"/>
                <w:szCs w:val="20"/>
              </w:rPr>
            </w:pPr>
          </w:p>
        </w:tc>
        <w:tc>
          <w:tcPr>
            <w:tcW w:w="1217"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水性涂料</w:t>
            </w:r>
          </w:p>
        </w:tc>
        <w:tc>
          <w:tcPr>
            <w:tcW w:w="1501"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醚类物质</w:t>
            </w:r>
          </w:p>
        </w:tc>
        <w:tc>
          <w:tcPr>
            <w:tcW w:w="1275" w:type="dxa"/>
            <w:tcBorders>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6.5%～10%</w:t>
            </w:r>
          </w:p>
        </w:tc>
      </w:tr>
      <w:tr>
        <w:tblPrEx>
          <w:tblCellMar>
            <w:top w:w="0" w:type="dxa"/>
            <w:left w:w="108" w:type="dxa"/>
            <w:bottom w:w="0" w:type="dxa"/>
            <w:right w:w="108" w:type="dxa"/>
          </w:tblCellMar>
        </w:tblPrEx>
        <w:trPr>
          <w:trHeight w:val="144" w:hRule="atLeast"/>
        </w:trPr>
        <w:tc>
          <w:tcPr>
            <w:tcW w:w="675" w:type="dxa"/>
            <w:vMerge w:val="continue"/>
            <w:tcBorders>
              <w:bottom w:val="single" w:color="auto" w:sz="4" w:space="0"/>
            </w:tcBorders>
          </w:tcPr>
          <w:p>
            <w:pPr>
              <w:rPr>
                <w:rFonts w:ascii="宋体" w:hAnsi="Times New Roman" w:eastAsia="宋体"/>
                <w:b w:val="0"/>
                <w:bCs w:val="0"/>
                <w:color w:val="000000" w:themeColor="text1" w:themeShade="BF"/>
                <w:sz w:val="20"/>
                <w:szCs w:val="20"/>
              </w:rPr>
            </w:pPr>
          </w:p>
        </w:tc>
        <w:tc>
          <w:tcPr>
            <w:tcW w:w="1560" w:type="dxa"/>
            <w:tcBorders>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硝基涂料</w:t>
            </w:r>
          </w:p>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（NC漆）</w:t>
            </w:r>
          </w:p>
        </w:tc>
        <w:tc>
          <w:tcPr>
            <w:tcW w:w="1417" w:type="dxa"/>
            <w:tcBorders>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甲苯、二甲苯、乙酸正丁酯、2-丁酮、甲醇</w:t>
            </w:r>
          </w:p>
        </w:tc>
        <w:tc>
          <w:tcPr>
            <w:tcW w:w="1334" w:type="dxa"/>
            <w:tcBorders>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50%～80%</w:t>
            </w:r>
          </w:p>
        </w:tc>
        <w:tc>
          <w:tcPr>
            <w:tcW w:w="1217" w:type="dxa"/>
            <w:tcBorders>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粉末涂料</w:t>
            </w:r>
          </w:p>
        </w:tc>
        <w:tc>
          <w:tcPr>
            <w:tcW w:w="1501" w:type="dxa"/>
            <w:tcBorders>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树脂、颜料、填料、助剂</w:t>
            </w:r>
          </w:p>
        </w:tc>
        <w:tc>
          <w:tcPr>
            <w:tcW w:w="1275" w:type="dxa"/>
            <w:tcBorders>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675" w:type="dxa"/>
            <w:tcBorders>
              <w:top w:val="single" w:color="auto" w:sz="4" w:space="0"/>
              <w:left w:val="nil"/>
              <w:bottom w:val="single" w:color="auto" w:sz="4" w:space="0"/>
              <w:right w:val="nil"/>
            </w:tcBorders>
            <w:shd w:val="clear" w:color="auto" w:fill="BFBFBF" w:themeFill="text1" w:themeFillTint="3F"/>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稀释剂</w:t>
            </w:r>
          </w:p>
        </w:tc>
        <w:tc>
          <w:tcPr>
            <w:tcW w:w="1560"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天那水、蓝水、白水</w:t>
            </w:r>
          </w:p>
        </w:tc>
        <w:tc>
          <w:tcPr>
            <w:tcW w:w="1417"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二甲苯、醋酸丁酯、乙酸乙酯、环己酮、乙酸异戊酯</w:t>
            </w:r>
          </w:p>
        </w:tc>
        <w:tc>
          <w:tcPr>
            <w:tcW w:w="1334"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100%</w:t>
            </w:r>
          </w:p>
        </w:tc>
        <w:tc>
          <w:tcPr>
            <w:tcW w:w="1217"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水性稀释剂</w:t>
            </w:r>
          </w:p>
        </w:tc>
        <w:tc>
          <w:tcPr>
            <w:tcW w:w="1501"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w:t>
            </w:r>
          </w:p>
        </w:tc>
        <w:tc>
          <w:tcPr>
            <w:tcW w:w="1275"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675" w:type="dxa"/>
            <w:tcBorders>
              <w:top w:val="single" w:color="auto" w:sz="4" w:space="0"/>
              <w:bottom w:val="single" w:color="auto" w:sz="4" w:space="0"/>
            </w:tcBorders>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油墨</w:t>
            </w:r>
          </w:p>
        </w:tc>
        <w:tc>
          <w:tcPr>
            <w:tcW w:w="1560"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塑料凹版油墨</w:t>
            </w:r>
          </w:p>
        </w:tc>
        <w:tc>
          <w:tcPr>
            <w:tcW w:w="1417"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醇类、酯类、苯类、酮类等</w:t>
            </w:r>
          </w:p>
        </w:tc>
        <w:tc>
          <w:tcPr>
            <w:tcW w:w="1334"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65%</w:t>
            </w:r>
          </w:p>
        </w:tc>
        <w:tc>
          <w:tcPr>
            <w:tcW w:w="1217"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水性塑料油墨</w:t>
            </w:r>
          </w:p>
        </w:tc>
        <w:tc>
          <w:tcPr>
            <w:tcW w:w="1501"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丙烯酸树脂、高级颜料、纯净水、助剂</w:t>
            </w:r>
          </w:p>
        </w:tc>
        <w:tc>
          <w:tcPr>
            <w:tcW w:w="1275" w:type="dxa"/>
            <w:tcBorders>
              <w:top w:val="single" w:color="auto" w:sz="4" w:space="0"/>
              <w:bottom w:val="single" w:color="auto" w:sz="4" w:space="0"/>
            </w:tcBorders>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w:t>
            </w:r>
          </w:p>
        </w:tc>
      </w:tr>
      <w:tr>
        <w:tblPrEx>
          <w:tblCellMar>
            <w:top w:w="0" w:type="dxa"/>
            <w:left w:w="108" w:type="dxa"/>
            <w:bottom w:w="0" w:type="dxa"/>
            <w:right w:w="108" w:type="dxa"/>
          </w:tblCellMar>
        </w:tblPrEx>
        <w:trPr>
          <w:trHeight w:val="315" w:hRule="atLeast"/>
        </w:trPr>
        <w:tc>
          <w:tcPr>
            <w:tcW w:w="675" w:type="dxa"/>
            <w:tcBorders>
              <w:top w:val="single" w:color="auto" w:sz="4" w:space="0"/>
              <w:left w:val="nil"/>
              <w:bottom w:val="single" w:color="auto" w:sz="4" w:space="0"/>
              <w:right w:val="nil"/>
            </w:tcBorders>
            <w:shd w:val="clear" w:color="auto" w:fill="BFBFBF" w:themeFill="text1" w:themeFillTint="3F"/>
          </w:tcPr>
          <w:p>
            <w:pPr>
              <w:rPr>
                <w:rFonts w:ascii="宋体" w:hAnsi="Times New Roman" w:eastAsia="宋体"/>
                <w:b w:val="0"/>
                <w:bCs w:val="0"/>
                <w:color w:val="000000" w:themeColor="text1" w:themeShade="BF"/>
                <w:sz w:val="20"/>
                <w:szCs w:val="20"/>
              </w:rPr>
            </w:pPr>
            <w:r>
              <w:rPr>
                <w:rFonts w:hint="eastAsia" w:ascii="Times New Roman" w:hAnsi="Times New Roman"/>
                <w:b/>
                <w:bCs/>
                <w:color w:val="000000" w:themeColor="text1" w:themeShade="BF"/>
              </w:rPr>
              <w:t>胶粘剂</w:t>
            </w:r>
          </w:p>
        </w:tc>
        <w:tc>
          <w:tcPr>
            <w:tcW w:w="1560"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溶剂型胶粘剂</w:t>
            </w:r>
          </w:p>
        </w:tc>
        <w:tc>
          <w:tcPr>
            <w:tcW w:w="1417"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主剂（聚乙烯</w:t>
            </w:r>
            <w:r>
              <w:rPr>
                <w:rFonts w:hint="eastAsia" w:ascii="宋体" w:hAnsi="Times New Roman" w:eastAsia="宋体"/>
                <w:color w:val="000000" w:themeColor="text1" w:themeShade="BF"/>
              </w:rPr>
              <w:t>、丙烯酸树脂、环氧树脂、酚醛树脂等）、助剂</w:t>
            </w:r>
          </w:p>
        </w:tc>
        <w:tc>
          <w:tcPr>
            <w:tcW w:w="1334"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约 80%</w:t>
            </w:r>
          </w:p>
        </w:tc>
        <w:tc>
          <w:tcPr>
            <w:tcW w:w="1217"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水性胶粘剂或无溶剂胶粘剂</w:t>
            </w:r>
          </w:p>
        </w:tc>
        <w:tc>
          <w:tcPr>
            <w:tcW w:w="1501"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聚乙烯醇、乙烯乙酸酯、丙烯酸、聚氨酯、酚醛类等</w:t>
            </w:r>
          </w:p>
        </w:tc>
        <w:tc>
          <w:tcPr>
            <w:tcW w:w="1275" w:type="dxa"/>
            <w:tcBorders>
              <w:top w:val="single" w:color="auto" w:sz="4" w:space="0"/>
              <w:bottom w:val="single" w:color="auto" w:sz="4" w:space="0"/>
              <w:right w:val="nil"/>
            </w:tcBorders>
            <w:shd w:val="clear" w:color="auto" w:fill="BFBFBF" w:themeFill="text1" w:themeFillTint="3F"/>
          </w:tcPr>
          <w:p>
            <w:pPr>
              <w:rPr>
                <w:rFonts w:ascii="宋体" w:hAnsi="Times New Roman" w:eastAsia="宋体"/>
                <w:color w:val="000000" w:themeColor="text1" w:themeShade="BF"/>
                <w:sz w:val="20"/>
                <w:szCs w:val="20"/>
              </w:rPr>
            </w:pPr>
            <w:r>
              <w:rPr>
                <w:rFonts w:hint="eastAsia" w:ascii="Times New Roman" w:hAnsi="Times New Roman"/>
                <w:color w:val="000000" w:themeColor="text1" w:themeShade="BF"/>
              </w:rPr>
              <w:t>约 10%</w:t>
            </w:r>
          </w:p>
        </w:tc>
      </w:tr>
    </w:tbl>
    <w:p>
      <w:pPr>
        <w:spacing w:line="360" w:lineRule="auto"/>
        <w:ind w:firstLine="480" w:firstLineChars="200"/>
        <w:rPr>
          <w:rFonts w:ascii="Times New Roman" w:hAnsi="Times New Roman"/>
          <w:sz w:val="24"/>
          <w:szCs w:val="24"/>
        </w:rPr>
      </w:pPr>
      <w:r>
        <w:rPr>
          <w:rFonts w:ascii="Times New Roman" w:hAnsi="Times New Roman"/>
          <w:sz w:val="24"/>
          <w:szCs w:val="24"/>
        </w:rPr>
        <w:br w:type="page"/>
      </w:r>
    </w:p>
    <w:p>
      <w:pPr>
        <w:spacing w:line="360" w:lineRule="auto"/>
        <w:ind w:firstLine="480" w:firstLineChars="200"/>
        <w:jc w:val="center"/>
        <w:rPr>
          <w:rFonts w:ascii="Times New Roman" w:hAnsi="Times New Roman"/>
          <w:snapToGrid w:val="0"/>
          <w:sz w:val="24"/>
          <w:szCs w:val="24"/>
        </w:rPr>
      </w:pPr>
      <w:r>
        <w:rPr>
          <w:rFonts w:hint="eastAsia" w:ascii="Times New Roman" w:hAnsi="Times New Roman"/>
          <w:sz w:val="24"/>
          <w:szCs w:val="24"/>
        </w:rPr>
        <w:t>表3     印刷行业可替代环保涂料前后对比</w:t>
      </w:r>
    </w:p>
    <w:tbl>
      <w:tblPr>
        <w:tblStyle w:val="37"/>
        <w:tblW w:w="9465" w:type="dxa"/>
        <w:tblInd w:w="0" w:type="dxa"/>
        <w:tblLayout w:type="fixed"/>
        <w:tblCellMar>
          <w:top w:w="0" w:type="dxa"/>
          <w:left w:w="108" w:type="dxa"/>
          <w:bottom w:w="0" w:type="dxa"/>
          <w:right w:w="108" w:type="dxa"/>
        </w:tblCellMar>
      </w:tblPr>
      <w:tblGrid>
        <w:gridCol w:w="817"/>
        <w:gridCol w:w="992"/>
        <w:gridCol w:w="1560"/>
        <w:gridCol w:w="1275"/>
        <w:gridCol w:w="1418"/>
        <w:gridCol w:w="2126"/>
        <w:gridCol w:w="1277"/>
      </w:tblGrid>
      <w:tr>
        <w:tblPrEx>
          <w:tblCellMar>
            <w:top w:w="0" w:type="dxa"/>
            <w:left w:w="108" w:type="dxa"/>
            <w:bottom w:w="0" w:type="dxa"/>
            <w:right w:w="108" w:type="dxa"/>
          </w:tblCellMar>
        </w:tblPrEx>
        <w:trPr>
          <w:trHeight w:val="144" w:hRule="atLeast"/>
          <w:tblHeader/>
        </w:trPr>
        <w:tc>
          <w:tcPr>
            <w:tcW w:w="817" w:type="dxa"/>
            <w:vMerge w:val="restart"/>
            <w:tcBorders>
              <w:top w:val="single" w:color="000000" w:themeColor="text1" w:sz="8" w:space="0"/>
              <w:left w:val="nil"/>
              <w:bottom w:val="single" w:color="000000" w:themeColor="text1" w:sz="8" w:space="0"/>
              <w:right w:val="nil"/>
              <w:insideH w:val="single" w:sz="8" w:space="0"/>
              <w:insideV w:val="nil"/>
            </w:tcBorders>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印刷方式</w:t>
            </w:r>
          </w:p>
        </w:tc>
        <w:tc>
          <w:tcPr>
            <w:tcW w:w="3827" w:type="dxa"/>
            <w:gridSpan w:val="3"/>
            <w:tcBorders>
              <w:top w:val="single" w:color="000000" w:themeColor="text1" w:sz="8" w:space="0"/>
              <w:bottom w:val="single" w:color="000000" w:themeColor="text1" w:sz="8" w:space="0"/>
              <w:right w:val="nil"/>
              <w:insideH w:val="single" w:sz="8" w:space="0"/>
              <w:insideV w:val="nil"/>
            </w:tcBorders>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含VOCs原辅材料</w:t>
            </w:r>
          </w:p>
        </w:tc>
        <w:tc>
          <w:tcPr>
            <w:tcW w:w="4821" w:type="dxa"/>
            <w:gridSpan w:val="3"/>
            <w:tcBorders>
              <w:top w:val="single" w:color="000000" w:themeColor="text1" w:sz="8" w:space="0"/>
              <w:bottom w:val="single" w:color="000000" w:themeColor="text1" w:sz="8" w:space="0"/>
              <w:right w:val="nil"/>
              <w:insideH w:val="single" w:sz="8" w:space="0"/>
              <w:insideV w:val="nil"/>
            </w:tcBorders>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可替代原辅材料</w:t>
            </w:r>
          </w:p>
        </w:tc>
      </w:tr>
      <w:tr>
        <w:tblPrEx>
          <w:tblCellMar>
            <w:top w:w="0" w:type="dxa"/>
            <w:left w:w="108" w:type="dxa"/>
            <w:bottom w:w="0" w:type="dxa"/>
            <w:right w:w="108" w:type="dxa"/>
          </w:tblCellMar>
        </w:tblPrEx>
        <w:trPr>
          <w:trHeight w:val="144" w:hRule="atLeast"/>
          <w:tblHeader/>
        </w:trPr>
        <w:tc>
          <w:tcPr>
            <w:tcW w:w="817" w:type="dxa"/>
            <w:vMerge w:val="continue"/>
            <w:tcBorders>
              <w:top w:val="single" w:color="000000" w:themeColor="text1" w:sz="8" w:space="0"/>
              <w:left w:val="nil"/>
              <w:bottom w:val="single" w:color="auto" w:sz="4" w:space="0"/>
              <w:right w:val="nil"/>
              <w:insideV w:val="nil"/>
            </w:tcBorders>
            <w:shd w:val="clear" w:color="auto" w:fill="BFBFBF" w:themeFill="text1" w:themeFillTint="3F"/>
          </w:tcPr>
          <w:p>
            <w:pPr>
              <w:spacing w:before="0" w:after="0" w:line="240" w:lineRule="auto"/>
              <w:rPr>
                <w:rFonts w:ascii="宋体" w:hAnsi="宋体" w:eastAsia="宋体"/>
                <w:b w:val="0"/>
                <w:bCs w:val="0"/>
                <w:color w:val="000000" w:themeColor="text1" w:themeShade="BF"/>
                <w:sz w:val="20"/>
                <w:szCs w:val="20"/>
              </w:rPr>
            </w:pPr>
          </w:p>
        </w:tc>
        <w:tc>
          <w:tcPr>
            <w:tcW w:w="992" w:type="dxa"/>
            <w:tcBorders>
              <w:top w:val="single" w:color="000000" w:themeColor="text1" w:sz="8" w:space="0"/>
              <w:bottom w:val="single" w:color="auto" w:sz="4" w:space="0"/>
              <w:right w:val="nil"/>
              <w:insideV w:val="nil"/>
            </w:tcBorders>
            <w:shd w:val="clear" w:color="auto" w:fill="BFBFBF" w:themeFill="text1" w:themeFillTint="3F"/>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类型</w:t>
            </w:r>
          </w:p>
        </w:tc>
        <w:tc>
          <w:tcPr>
            <w:tcW w:w="1560" w:type="dxa"/>
            <w:tcBorders>
              <w:top w:val="single" w:color="000000" w:themeColor="text1" w:sz="8" w:space="0"/>
              <w:bottom w:val="single" w:color="auto" w:sz="4" w:space="0"/>
              <w:right w:val="nil"/>
              <w:insideV w:val="nil"/>
            </w:tcBorders>
            <w:shd w:val="clear" w:color="auto" w:fill="BFBFBF" w:themeFill="text1" w:themeFillTint="3F"/>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主要成分</w:t>
            </w:r>
          </w:p>
        </w:tc>
        <w:tc>
          <w:tcPr>
            <w:tcW w:w="1275" w:type="dxa"/>
            <w:tcBorders>
              <w:top w:val="single" w:color="000000" w:themeColor="text1" w:sz="8" w:space="0"/>
              <w:bottom w:val="single" w:color="auto" w:sz="4" w:space="0"/>
              <w:right w:val="nil"/>
              <w:insideV w:val="nil"/>
            </w:tcBorders>
            <w:shd w:val="clear" w:color="auto" w:fill="BFBFBF" w:themeFill="text1" w:themeFillTint="3F"/>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VOCs含量</w:t>
            </w:r>
          </w:p>
        </w:tc>
        <w:tc>
          <w:tcPr>
            <w:tcW w:w="1418" w:type="dxa"/>
            <w:tcBorders>
              <w:top w:val="single" w:color="000000" w:themeColor="text1" w:sz="8" w:space="0"/>
              <w:bottom w:val="single" w:color="auto" w:sz="4" w:space="0"/>
              <w:right w:val="nil"/>
              <w:insideV w:val="nil"/>
            </w:tcBorders>
            <w:shd w:val="clear" w:color="auto" w:fill="BFBFBF" w:themeFill="text1" w:themeFillTint="3F"/>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类型</w:t>
            </w:r>
          </w:p>
        </w:tc>
        <w:tc>
          <w:tcPr>
            <w:tcW w:w="2126" w:type="dxa"/>
            <w:tcBorders>
              <w:top w:val="single" w:color="000000" w:themeColor="text1" w:sz="8" w:space="0"/>
              <w:bottom w:val="single" w:color="auto" w:sz="4" w:space="0"/>
              <w:right w:val="nil"/>
              <w:insideV w:val="nil"/>
            </w:tcBorders>
            <w:shd w:val="clear" w:color="auto" w:fill="BFBFBF" w:themeFill="text1" w:themeFillTint="3F"/>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主要成分</w:t>
            </w:r>
          </w:p>
        </w:tc>
        <w:tc>
          <w:tcPr>
            <w:tcW w:w="1277" w:type="dxa"/>
            <w:tcBorders>
              <w:top w:val="single" w:color="000000" w:themeColor="text1" w:sz="8" w:space="0"/>
              <w:bottom w:val="single" w:color="auto" w:sz="4" w:space="0"/>
              <w:right w:val="nil"/>
              <w:insideV w:val="nil"/>
            </w:tcBorders>
            <w:shd w:val="clear" w:color="auto" w:fill="BFBFBF" w:themeFill="text1" w:themeFillTint="3F"/>
          </w:tcPr>
          <w:p>
            <w:pPr>
              <w:spacing w:before="0" w:after="0" w:line="240" w:lineRule="auto"/>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VOCs含量</w:t>
            </w:r>
          </w:p>
        </w:tc>
      </w:tr>
      <w:tr>
        <w:tblPrEx>
          <w:tblCellMar>
            <w:top w:w="0" w:type="dxa"/>
            <w:left w:w="108" w:type="dxa"/>
            <w:bottom w:w="0" w:type="dxa"/>
            <w:right w:w="108" w:type="dxa"/>
          </w:tblCellMar>
        </w:tblPrEx>
        <w:trPr>
          <w:trHeight w:val="144" w:hRule="atLeast"/>
        </w:trPr>
        <w:tc>
          <w:tcPr>
            <w:tcW w:w="817" w:type="dxa"/>
            <w:vMerge w:val="restart"/>
            <w:tcBorders>
              <w:top w:val="single" w:color="auto" w:sz="4" w:space="0"/>
            </w:tcBorders>
          </w:tcPr>
          <w:p>
            <w:pPr>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平版印刷</w:t>
            </w:r>
          </w:p>
        </w:tc>
        <w:tc>
          <w:tcPr>
            <w:tcW w:w="992" w:type="dxa"/>
            <w:vMerge w:val="restart"/>
            <w:tcBorders>
              <w:top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热固型油墨</w:t>
            </w:r>
          </w:p>
        </w:tc>
        <w:tc>
          <w:tcPr>
            <w:tcW w:w="1560" w:type="dxa"/>
            <w:vMerge w:val="restart"/>
            <w:tcBorders>
              <w:top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酚醛改性松香树脂、矿物油、植物油、色料、其他助剂</w:t>
            </w:r>
          </w:p>
        </w:tc>
        <w:tc>
          <w:tcPr>
            <w:tcW w:w="1275" w:type="dxa"/>
            <w:vMerge w:val="restart"/>
            <w:tcBorders>
              <w:top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25～35%</w:t>
            </w:r>
          </w:p>
        </w:tc>
        <w:tc>
          <w:tcPr>
            <w:tcW w:w="1418" w:type="dxa"/>
            <w:tcBorders>
              <w:top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UV固化油墨</w:t>
            </w:r>
          </w:p>
        </w:tc>
        <w:tc>
          <w:tcPr>
            <w:tcW w:w="2126" w:type="dxa"/>
            <w:tcBorders>
              <w:top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预聚物树脂（环氧丙烯酸酯、聚酯丙烯酸酯、丙烯酸氨基甲酸脂、聚醚丙烯酸脂</w:t>
            </w:r>
            <w:r>
              <w:rPr>
                <w:rFonts w:hint="eastAsia" w:ascii="宋体" w:hAnsi="宋体" w:eastAsia="宋体"/>
                <w:color w:val="000000" w:themeColor="text1" w:themeShade="BF"/>
              </w:rPr>
              <w:t>等）、</w:t>
            </w:r>
            <w:r>
              <w:rPr>
                <w:rFonts w:hint="eastAsia" w:ascii="Times New Roman" w:hAnsi="Times New Roman"/>
                <w:color w:val="000000" w:themeColor="text1" w:themeShade="BF"/>
              </w:rPr>
              <w:t>稀释剂单体</w:t>
            </w:r>
            <w:r>
              <w:rPr>
                <w:rFonts w:hint="eastAsia" w:ascii="宋体" w:hAnsi="宋体" w:eastAsia="宋体"/>
                <w:color w:val="000000" w:themeColor="text1" w:themeShade="BF"/>
              </w:rPr>
              <w:t>、</w:t>
            </w:r>
            <w:r>
              <w:rPr>
                <w:rFonts w:hint="eastAsia" w:ascii="Times New Roman" w:hAnsi="Times New Roman"/>
                <w:color w:val="000000" w:themeColor="text1" w:themeShade="BF"/>
              </w:rPr>
              <w:t>光引发剂</w:t>
            </w:r>
          </w:p>
        </w:tc>
        <w:tc>
          <w:tcPr>
            <w:tcW w:w="1277" w:type="dxa"/>
            <w:tcBorders>
              <w:top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10～15%</w:t>
            </w:r>
          </w:p>
        </w:tc>
      </w:tr>
      <w:tr>
        <w:tblPrEx>
          <w:tblCellMar>
            <w:top w:w="0" w:type="dxa"/>
            <w:left w:w="108" w:type="dxa"/>
            <w:bottom w:w="0" w:type="dxa"/>
            <w:right w:w="108" w:type="dxa"/>
          </w:tblCellMar>
        </w:tblPrEx>
        <w:trPr>
          <w:trHeight w:val="144" w:hRule="atLeast"/>
        </w:trPr>
        <w:tc>
          <w:tcPr>
            <w:tcW w:w="817" w:type="dxa"/>
            <w:vMerge w:val="continue"/>
            <w:tcBorders>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p>
        </w:tc>
        <w:tc>
          <w:tcPr>
            <w:tcW w:w="992" w:type="dxa"/>
            <w:vMerge w:val="continue"/>
            <w:tcBorders>
              <w:right w:val="nil"/>
            </w:tcBorders>
            <w:shd w:val="clear" w:color="auto" w:fill="BFBFBF" w:themeFill="text1" w:themeFillTint="3F"/>
          </w:tcPr>
          <w:p>
            <w:pPr>
              <w:rPr>
                <w:rFonts w:ascii="宋体" w:hAnsi="宋体" w:eastAsia="宋体"/>
                <w:color w:val="000000" w:themeColor="text1" w:themeShade="BF"/>
                <w:sz w:val="20"/>
                <w:szCs w:val="20"/>
              </w:rPr>
            </w:pPr>
          </w:p>
        </w:tc>
        <w:tc>
          <w:tcPr>
            <w:tcW w:w="1560" w:type="dxa"/>
            <w:vMerge w:val="continue"/>
            <w:tcBorders>
              <w:right w:val="nil"/>
            </w:tcBorders>
            <w:shd w:val="clear" w:color="auto" w:fill="BFBFBF" w:themeFill="text1" w:themeFillTint="3F"/>
          </w:tcPr>
          <w:p>
            <w:pPr>
              <w:rPr>
                <w:rFonts w:ascii="宋体" w:hAnsi="宋体" w:eastAsia="宋体"/>
                <w:color w:val="000000" w:themeColor="text1" w:themeShade="BF"/>
                <w:sz w:val="20"/>
                <w:szCs w:val="20"/>
              </w:rPr>
            </w:pPr>
          </w:p>
        </w:tc>
        <w:tc>
          <w:tcPr>
            <w:tcW w:w="1275" w:type="dxa"/>
            <w:vMerge w:val="continue"/>
            <w:tcBorders>
              <w:right w:val="nil"/>
            </w:tcBorders>
            <w:shd w:val="clear" w:color="auto" w:fill="BFBFBF" w:themeFill="text1" w:themeFillTint="3F"/>
          </w:tcPr>
          <w:p>
            <w:pPr>
              <w:rPr>
                <w:rFonts w:ascii="宋体" w:hAnsi="宋体" w:eastAsia="宋体"/>
                <w:color w:val="000000" w:themeColor="text1" w:themeShade="BF"/>
                <w:sz w:val="20"/>
                <w:szCs w:val="20"/>
              </w:rPr>
            </w:pPr>
          </w:p>
        </w:tc>
        <w:tc>
          <w:tcPr>
            <w:tcW w:w="1418"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EB固化油墨（或低VOCs含量油墨）</w:t>
            </w:r>
          </w:p>
        </w:tc>
        <w:tc>
          <w:tcPr>
            <w:tcW w:w="2126"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颜料、连接料（丙烯酸类树脂）、辅助剂</w:t>
            </w:r>
          </w:p>
        </w:tc>
        <w:tc>
          <w:tcPr>
            <w:tcW w:w="1277"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0～2%</w:t>
            </w:r>
          </w:p>
        </w:tc>
      </w:tr>
      <w:tr>
        <w:tblPrEx>
          <w:tblCellMar>
            <w:top w:w="0" w:type="dxa"/>
            <w:left w:w="108" w:type="dxa"/>
            <w:bottom w:w="0" w:type="dxa"/>
            <w:right w:w="108" w:type="dxa"/>
          </w:tblCellMar>
        </w:tblPrEx>
        <w:trPr>
          <w:trHeight w:val="144" w:hRule="atLeast"/>
        </w:trPr>
        <w:tc>
          <w:tcPr>
            <w:tcW w:w="817" w:type="dxa"/>
            <w:vMerge w:val="continue"/>
          </w:tcPr>
          <w:p>
            <w:pPr>
              <w:rPr>
                <w:rFonts w:ascii="宋体" w:hAnsi="宋体" w:eastAsia="宋体"/>
                <w:b w:val="0"/>
                <w:bCs w:val="0"/>
                <w:color w:val="000000" w:themeColor="text1" w:themeShade="BF"/>
                <w:sz w:val="20"/>
                <w:szCs w:val="20"/>
              </w:rPr>
            </w:pPr>
          </w:p>
        </w:tc>
        <w:tc>
          <w:tcPr>
            <w:tcW w:w="992" w:type="dxa"/>
            <w:vMerge w:val="continue"/>
          </w:tcPr>
          <w:p>
            <w:pPr>
              <w:rPr>
                <w:rFonts w:ascii="宋体" w:hAnsi="宋体" w:eastAsia="宋体"/>
                <w:color w:val="000000" w:themeColor="text1" w:themeShade="BF"/>
                <w:sz w:val="20"/>
                <w:szCs w:val="20"/>
              </w:rPr>
            </w:pPr>
          </w:p>
        </w:tc>
        <w:tc>
          <w:tcPr>
            <w:tcW w:w="1560" w:type="dxa"/>
            <w:vMerge w:val="continue"/>
          </w:tcPr>
          <w:p>
            <w:pPr>
              <w:rPr>
                <w:rFonts w:ascii="宋体" w:hAnsi="宋体" w:eastAsia="宋体"/>
                <w:color w:val="000000" w:themeColor="text1" w:themeShade="BF"/>
                <w:sz w:val="20"/>
                <w:szCs w:val="20"/>
              </w:rPr>
            </w:pPr>
          </w:p>
        </w:tc>
        <w:tc>
          <w:tcPr>
            <w:tcW w:w="1275" w:type="dxa"/>
            <w:vMerge w:val="continue"/>
          </w:tcPr>
          <w:p>
            <w:pPr>
              <w:rPr>
                <w:rFonts w:ascii="宋体" w:hAnsi="宋体" w:eastAsia="宋体"/>
                <w:color w:val="000000" w:themeColor="text1" w:themeShade="BF"/>
                <w:sz w:val="20"/>
                <w:szCs w:val="20"/>
              </w:rPr>
            </w:pPr>
          </w:p>
        </w:tc>
        <w:tc>
          <w:tcPr>
            <w:tcW w:w="1418"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大豆油墨</w:t>
            </w:r>
          </w:p>
        </w:tc>
        <w:tc>
          <w:tcPr>
            <w:tcW w:w="2126"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大豆油、添加剂（色素、树脂）</w:t>
            </w:r>
          </w:p>
        </w:tc>
        <w:tc>
          <w:tcPr>
            <w:tcW w:w="1277"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0～20%</w:t>
            </w:r>
          </w:p>
        </w:tc>
      </w:tr>
      <w:tr>
        <w:tblPrEx>
          <w:tblCellMar>
            <w:top w:w="0" w:type="dxa"/>
            <w:left w:w="108" w:type="dxa"/>
            <w:bottom w:w="0" w:type="dxa"/>
            <w:right w:w="108" w:type="dxa"/>
          </w:tblCellMar>
        </w:tblPrEx>
        <w:trPr>
          <w:trHeight w:val="144" w:hRule="atLeast"/>
        </w:trPr>
        <w:tc>
          <w:tcPr>
            <w:tcW w:w="817" w:type="dxa"/>
            <w:vMerge w:val="continue"/>
            <w:tcBorders>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p>
        </w:tc>
        <w:tc>
          <w:tcPr>
            <w:tcW w:w="992"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溶剂型油墨</w:t>
            </w:r>
          </w:p>
        </w:tc>
        <w:tc>
          <w:tcPr>
            <w:tcW w:w="1560"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颜料、合成树脂、植物油、矿物油、助剂、溶剂</w:t>
            </w:r>
          </w:p>
        </w:tc>
        <w:tc>
          <w:tcPr>
            <w:tcW w:w="1275"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20%～70%</w:t>
            </w:r>
          </w:p>
        </w:tc>
        <w:tc>
          <w:tcPr>
            <w:tcW w:w="1418"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水性油墨</w:t>
            </w:r>
          </w:p>
        </w:tc>
        <w:tc>
          <w:tcPr>
            <w:tcW w:w="2126"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颜料、乙醇、松香、水</w:t>
            </w:r>
          </w:p>
        </w:tc>
        <w:tc>
          <w:tcPr>
            <w:tcW w:w="1277"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0%～10%</w:t>
            </w:r>
          </w:p>
        </w:tc>
      </w:tr>
      <w:tr>
        <w:tblPrEx>
          <w:tblCellMar>
            <w:top w:w="0" w:type="dxa"/>
            <w:left w:w="108" w:type="dxa"/>
            <w:bottom w:w="0" w:type="dxa"/>
            <w:right w:w="108" w:type="dxa"/>
          </w:tblCellMar>
        </w:tblPrEx>
        <w:trPr>
          <w:trHeight w:val="144" w:hRule="atLeast"/>
        </w:trPr>
        <w:tc>
          <w:tcPr>
            <w:tcW w:w="817" w:type="dxa"/>
            <w:vMerge w:val="continue"/>
          </w:tcPr>
          <w:p>
            <w:pPr>
              <w:rPr>
                <w:rFonts w:ascii="宋体" w:hAnsi="宋体" w:eastAsia="宋体"/>
                <w:b w:val="0"/>
                <w:bCs w:val="0"/>
                <w:color w:val="000000" w:themeColor="text1" w:themeShade="BF"/>
                <w:sz w:val="20"/>
                <w:szCs w:val="20"/>
              </w:rPr>
            </w:pPr>
          </w:p>
        </w:tc>
        <w:tc>
          <w:tcPr>
            <w:tcW w:w="992"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溶剂型稀释剂</w:t>
            </w:r>
          </w:p>
        </w:tc>
        <w:tc>
          <w:tcPr>
            <w:tcW w:w="1560"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二甲苯、环己酯、乙酯、乙醇、丙二醇甲醚、丙二醇甲醚醋酸酯、戊二酸二甲酯</w:t>
            </w:r>
          </w:p>
        </w:tc>
        <w:tc>
          <w:tcPr>
            <w:tcW w:w="1275"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水性稀释剂</w:t>
            </w:r>
          </w:p>
        </w:tc>
        <w:tc>
          <w:tcPr>
            <w:tcW w:w="2126"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异丙醇、水</w:t>
            </w:r>
          </w:p>
        </w:tc>
        <w:tc>
          <w:tcPr>
            <w:tcW w:w="1277"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100%/0%（水）</w:t>
            </w:r>
          </w:p>
        </w:tc>
      </w:tr>
      <w:tr>
        <w:tblPrEx>
          <w:tblCellMar>
            <w:top w:w="0" w:type="dxa"/>
            <w:left w:w="108" w:type="dxa"/>
            <w:bottom w:w="0" w:type="dxa"/>
            <w:right w:w="108" w:type="dxa"/>
          </w:tblCellMar>
        </w:tblPrEx>
        <w:trPr>
          <w:trHeight w:val="144" w:hRule="atLeast"/>
        </w:trPr>
        <w:tc>
          <w:tcPr>
            <w:tcW w:w="817" w:type="dxa"/>
            <w:vMerge w:val="continue"/>
            <w:tcBorders>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p>
        </w:tc>
        <w:tc>
          <w:tcPr>
            <w:tcW w:w="992"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润版液</w:t>
            </w:r>
          </w:p>
        </w:tc>
        <w:tc>
          <w:tcPr>
            <w:tcW w:w="1560"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异丙醇、乙醇、乙二醇</w:t>
            </w:r>
          </w:p>
        </w:tc>
        <w:tc>
          <w:tcPr>
            <w:tcW w:w="1275"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60%～80%</w:t>
            </w:r>
          </w:p>
        </w:tc>
        <w:tc>
          <w:tcPr>
            <w:tcW w:w="1418"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低（无）酒精润版液</w:t>
            </w:r>
          </w:p>
        </w:tc>
        <w:tc>
          <w:tcPr>
            <w:tcW w:w="2126"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乙醇、异丙醇或其它醇类</w:t>
            </w:r>
          </w:p>
        </w:tc>
        <w:tc>
          <w:tcPr>
            <w:tcW w:w="1277"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0～5%</w:t>
            </w:r>
          </w:p>
        </w:tc>
      </w:tr>
      <w:tr>
        <w:tblPrEx>
          <w:tblCellMar>
            <w:top w:w="0" w:type="dxa"/>
            <w:left w:w="108" w:type="dxa"/>
            <w:bottom w:w="0" w:type="dxa"/>
            <w:right w:w="108" w:type="dxa"/>
          </w:tblCellMar>
        </w:tblPrEx>
        <w:trPr>
          <w:trHeight w:val="144" w:hRule="atLeast"/>
        </w:trPr>
        <w:tc>
          <w:tcPr>
            <w:tcW w:w="817" w:type="dxa"/>
            <w:vMerge w:val="continue"/>
            <w:tcBorders>
              <w:bottom w:val="single" w:color="auto" w:sz="4" w:space="0"/>
            </w:tcBorders>
          </w:tcPr>
          <w:p>
            <w:pPr>
              <w:rPr>
                <w:rFonts w:ascii="宋体" w:hAnsi="宋体" w:eastAsia="宋体"/>
                <w:b w:val="0"/>
                <w:bCs w:val="0"/>
                <w:color w:val="000000" w:themeColor="text1" w:themeShade="BF"/>
                <w:sz w:val="20"/>
                <w:szCs w:val="20"/>
              </w:rPr>
            </w:pPr>
          </w:p>
        </w:tc>
        <w:tc>
          <w:tcPr>
            <w:tcW w:w="992"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溶剂型清洗剂</w:t>
            </w:r>
          </w:p>
        </w:tc>
        <w:tc>
          <w:tcPr>
            <w:tcW w:w="1560"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汽油、甲苯、乙醇</w:t>
            </w:r>
          </w:p>
        </w:tc>
        <w:tc>
          <w:tcPr>
            <w:tcW w:w="1275"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水性清洗剂</w:t>
            </w:r>
          </w:p>
        </w:tc>
        <w:tc>
          <w:tcPr>
            <w:tcW w:w="2126"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乙醇、白电油、表面活性剂</w:t>
            </w:r>
          </w:p>
        </w:tc>
        <w:tc>
          <w:tcPr>
            <w:tcW w:w="1277"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100%/0%（水）</w:t>
            </w:r>
          </w:p>
        </w:tc>
      </w:tr>
      <w:tr>
        <w:tblPrEx>
          <w:tblCellMar>
            <w:top w:w="0" w:type="dxa"/>
            <w:left w:w="108" w:type="dxa"/>
            <w:bottom w:w="0" w:type="dxa"/>
            <w:right w:w="108" w:type="dxa"/>
          </w:tblCellMar>
        </w:tblPrEx>
        <w:trPr>
          <w:trHeight w:val="144" w:hRule="atLeast"/>
        </w:trPr>
        <w:tc>
          <w:tcPr>
            <w:tcW w:w="817" w:type="dxa"/>
            <w:vMerge w:val="restart"/>
            <w:tcBorders>
              <w:top w:val="single" w:color="auto" w:sz="4" w:space="0"/>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柔版印刷</w:t>
            </w:r>
          </w:p>
          <w:p>
            <w:pPr>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凸版印刷</w:t>
            </w:r>
          </w:p>
        </w:tc>
        <w:tc>
          <w:tcPr>
            <w:tcW w:w="992"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溶剂型油墨</w:t>
            </w:r>
          </w:p>
        </w:tc>
        <w:tc>
          <w:tcPr>
            <w:tcW w:w="1560"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丁酮、甲基异丁基酮、甲苯、异丙醇、乙醇、丙醇、乙酸乙酯、乙酸丙酯</w:t>
            </w:r>
          </w:p>
        </w:tc>
        <w:tc>
          <w:tcPr>
            <w:tcW w:w="1275"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45%～70%</w:t>
            </w:r>
          </w:p>
        </w:tc>
        <w:tc>
          <w:tcPr>
            <w:tcW w:w="1418"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水性油墨</w:t>
            </w:r>
          </w:p>
        </w:tc>
        <w:tc>
          <w:tcPr>
            <w:tcW w:w="2126"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丙二醇、水性丙烯酸乳液、水性颜料、水性消泡剂</w:t>
            </w:r>
          </w:p>
        </w:tc>
        <w:tc>
          <w:tcPr>
            <w:tcW w:w="1277"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5%～10%</w:t>
            </w:r>
          </w:p>
        </w:tc>
      </w:tr>
      <w:tr>
        <w:tblPrEx>
          <w:tblCellMar>
            <w:top w:w="0" w:type="dxa"/>
            <w:left w:w="108" w:type="dxa"/>
            <w:bottom w:w="0" w:type="dxa"/>
            <w:right w:w="108" w:type="dxa"/>
          </w:tblCellMar>
        </w:tblPrEx>
        <w:trPr>
          <w:trHeight w:val="144" w:hRule="atLeast"/>
        </w:trPr>
        <w:tc>
          <w:tcPr>
            <w:tcW w:w="817" w:type="dxa"/>
            <w:vMerge w:val="continue"/>
          </w:tcPr>
          <w:p>
            <w:pPr>
              <w:rPr>
                <w:rFonts w:ascii="宋体" w:hAnsi="宋体" w:eastAsia="宋体"/>
                <w:b w:val="0"/>
                <w:bCs w:val="0"/>
                <w:color w:val="000000" w:themeColor="text1" w:themeShade="BF"/>
                <w:sz w:val="20"/>
                <w:szCs w:val="20"/>
              </w:rPr>
            </w:pPr>
          </w:p>
        </w:tc>
        <w:tc>
          <w:tcPr>
            <w:tcW w:w="992" w:type="dxa"/>
            <w:vMerge w:val="continue"/>
          </w:tcPr>
          <w:p>
            <w:pPr>
              <w:rPr>
                <w:rFonts w:ascii="宋体" w:hAnsi="宋体" w:eastAsia="宋体"/>
                <w:color w:val="000000" w:themeColor="text1" w:themeShade="BF"/>
                <w:sz w:val="20"/>
                <w:szCs w:val="20"/>
              </w:rPr>
            </w:pPr>
          </w:p>
        </w:tc>
        <w:tc>
          <w:tcPr>
            <w:tcW w:w="1560" w:type="dxa"/>
            <w:vMerge w:val="continue"/>
          </w:tcPr>
          <w:p>
            <w:pPr>
              <w:rPr>
                <w:rFonts w:ascii="宋体" w:hAnsi="宋体" w:eastAsia="宋体"/>
                <w:color w:val="000000" w:themeColor="text1" w:themeShade="BF"/>
                <w:sz w:val="20"/>
                <w:szCs w:val="20"/>
              </w:rPr>
            </w:pPr>
          </w:p>
        </w:tc>
        <w:tc>
          <w:tcPr>
            <w:tcW w:w="1275" w:type="dxa"/>
            <w:vMerge w:val="continue"/>
          </w:tcPr>
          <w:p>
            <w:pPr>
              <w:rPr>
                <w:rFonts w:ascii="宋体" w:hAnsi="宋体" w:eastAsia="宋体"/>
                <w:color w:val="000000" w:themeColor="text1" w:themeShade="BF"/>
                <w:sz w:val="20"/>
                <w:szCs w:val="20"/>
              </w:rPr>
            </w:pPr>
          </w:p>
        </w:tc>
        <w:tc>
          <w:tcPr>
            <w:tcW w:w="1418"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EB固化油墨</w:t>
            </w:r>
          </w:p>
        </w:tc>
        <w:tc>
          <w:tcPr>
            <w:tcW w:w="2126"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颜料、连接料（丙烯酸类树脂）、辅助剂</w:t>
            </w:r>
          </w:p>
        </w:tc>
        <w:tc>
          <w:tcPr>
            <w:tcW w:w="1277"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0～2%</w:t>
            </w:r>
          </w:p>
        </w:tc>
      </w:tr>
      <w:tr>
        <w:tblPrEx>
          <w:tblCellMar>
            <w:top w:w="0" w:type="dxa"/>
            <w:left w:w="108" w:type="dxa"/>
            <w:bottom w:w="0" w:type="dxa"/>
            <w:right w:w="108" w:type="dxa"/>
          </w:tblCellMar>
        </w:tblPrEx>
        <w:trPr>
          <w:trHeight w:val="144" w:hRule="atLeast"/>
        </w:trPr>
        <w:tc>
          <w:tcPr>
            <w:tcW w:w="817" w:type="dxa"/>
            <w:vMerge w:val="continue"/>
            <w:tcBorders>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p>
        </w:tc>
        <w:tc>
          <w:tcPr>
            <w:tcW w:w="992"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溶剂型稀释剂</w:t>
            </w:r>
          </w:p>
        </w:tc>
        <w:tc>
          <w:tcPr>
            <w:tcW w:w="1560"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乙醇、正丙醇、异丙醇、甲基乙丁基酮、丁酮、乙酸乙酯、正丙酯、甲苯、丙酸、异丙酸</w:t>
            </w:r>
          </w:p>
        </w:tc>
        <w:tc>
          <w:tcPr>
            <w:tcW w:w="1275"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水性稀释剂</w:t>
            </w:r>
          </w:p>
        </w:tc>
        <w:tc>
          <w:tcPr>
            <w:tcW w:w="2126"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w:t>
            </w:r>
          </w:p>
        </w:tc>
        <w:tc>
          <w:tcPr>
            <w:tcW w:w="1277"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144" w:hRule="atLeast"/>
        </w:trPr>
        <w:tc>
          <w:tcPr>
            <w:tcW w:w="817" w:type="dxa"/>
            <w:vMerge w:val="continue"/>
            <w:tcBorders>
              <w:bottom w:val="single" w:color="auto" w:sz="4" w:space="0"/>
            </w:tcBorders>
          </w:tcPr>
          <w:p>
            <w:pPr>
              <w:rPr>
                <w:rFonts w:ascii="宋体" w:hAnsi="宋体" w:eastAsia="宋体"/>
                <w:b w:val="0"/>
                <w:bCs w:val="0"/>
                <w:color w:val="000000" w:themeColor="text1" w:themeShade="BF"/>
                <w:sz w:val="20"/>
                <w:szCs w:val="20"/>
              </w:rPr>
            </w:pPr>
          </w:p>
        </w:tc>
        <w:tc>
          <w:tcPr>
            <w:tcW w:w="992"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溶剂型清洗剂</w:t>
            </w:r>
          </w:p>
        </w:tc>
        <w:tc>
          <w:tcPr>
            <w:tcW w:w="1560"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乙醇、甲苯、乙酯、丁酮、 异丙醇</w:t>
            </w:r>
          </w:p>
        </w:tc>
        <w:tc>
          <w:tcPr>
            <w:tcW w:w="1275"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水性清洗剂</w:t>
            </w:r>
          </w:p>
        </w:tc>
        <w:tc>
          <w:tcPr>
            <w:tcW w:w="2126"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w:t>
            </w:r>
          </w:p>
        </w:tc>
        <w:tc>
          <w:tcPr>
            <w:tcW w:w="1277"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817" w:type="dxa"/>
            <w:vMerge w:val="restart"/>
            <w:tcBorders>
              <w:top w:val="single" w:color="auto" w:sz="4" w:space="0"/>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凹版印刷</w:t>
            </w:r>
          </w:p>
        </w:tc>
        <w:tc>
          <w:tcPr>
            <w:tcW w:w="992"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溶剂型油墨</w:t>
            </w:r>
          </w:p>
        </w:tc>
        <w:tc>
          <w:tcPr>
            <w:tcW w:w="1560"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合成树脂、颜料、助剂、醇类、酯类、酮类、烷烃类有机溶剂</w:t>
            </w:r>
          </w:p>
        </w:tc>
        <w:tc>
          <w:tcPr>
            <w:tcW w:w="1275"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50%～90%</w:t>
            </w:r>
          </w:p>
        </w:tc>
        <w:tc>
          <w:tcPr>
            <w:tcW w:w="1418"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水性油墨</w:t>
            </w:r>
          </w:p>
        </w:tc>
        <w:tc>
          <w:tcPr>
            <w:tcW w:w="2126"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乙醇、异丙醇、水</w:t>
            </w:r>
          </w:p>
        </w:tc>
        <w:tc>
          <w:tcPr>
            <w:tcW w:w="1277"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＜30%</w:t>
            </w:r>
          </w:p>
        </w:tc>
      </w:tr>
      <w:tr>
        <w:tblPrEx>
          <w:tblCellMar>
            <w:top w:w="0" w:type="dxa"/>
            <w:left w:w="108" w:type="dxa"/>
            <w:bottom w:w="0" w:type="dxa"/>
            <w:right w:w="108" w:type="dxa"/>
          </w:tblCellMar>
        </w:tblPrEx>
        <w:trPr>
          <w:trHeight w:val="144" w:hRule="atLeast"/>
        </w:trPr>
        <w:tc>
          <w:tcPr>
            <w:tcW w:w="817" w:type="dxa"/>
            <w:vMerge w:val="continue"/>
          </w:tcPr>
          <w:p>
            <w:pPr>
              <w:rPr>
                <w:rFonts w:ascii="宋体" w:hAnsi="宋体" w:eastAsia="宋体"/>
                <w:b w:val="0"/>
                <w:bCs w:val="0"/>
                <w:color w:val="000000" w:themeColor="text1" w:themeShade="BF"/>
                <w:sz w:val="20"/>
                <w:szCs w:val="20"/>
              </w:rPr>
            </w:pPr>
          </w:p>
        </w:tc>
        <w:tc>
          <w:tcPr>
            <w:tcW w:w="992" w:type="dxa"/>
            <w:vMerge w:val="continue"/>
          </w:tcPr>
          <w:p>
            <w:pPr>
              <w:rPr>
                <w:rFonts w:ascii="宋体" w:hAnsi="宋体" w:eastAsia="宋体"/>
                <w:color w:val="000000" w:themeColor="text1" w:themeShade="BF"/>
                <w:sz w:val="20"/>
                <w:szCs w:val="20"/>
              </w:rPr>
            </w:pPr>
          </w:p>
        </w:tc>
        <w:tc>
          <w:tcPr>
            <w:tcW w:w="1560" w:type="dxa"/>
            <w:vMerge w:val="continue"/>
          </w:tcPr>
          <w:p>
            <w:pPr>
              <w:rPr>
                <w:rFonts w:ascii="宋体" w:hAnsi="宋体" w:eastAsia="宋体"/>
                <w:color w:val="000000" w:themeColor="text1" w:themeShade="BF"/>
                <w:sz w:val="20"/>
                <w:szCs w:val="20"/>
              </w:rPr>
            </w:pPr>
          </w:p>
        </w:tc>
        <w:tc>
          <w:tcPr>
            <w:tcW w:w="1275" w:type="dxa"/>
            <w:vMerge w:val="continue"/>
          </w:tcPr>
          <w:p>
            <w:pPr>
              <w:rPr>
                <w:rFonts w:ascii="宋体" w:hAnsi="宋体" w:eastAsia="宋体"/>
                <w:color w:val="000000" w:themeColor="text1" w:themeShade="BF"/>
                <w:sz w:val="20"/>
                <w:szCs w:val="20"/>
              </w:rPr>
            </w:pPr>
          </w:p>
        </w:tc>
        <w:tc>
          <w:tcPr>
            <w:tcW w:w="1418"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EB固化油墨</w:t>
            </w:r>
          </w:p>
        </w:tc>
        <w:tc>
          <w:tcPr>
            <w:tcW w:w="2126"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颜料、连接料（丙烯酸类树脂）、辅助剂</w:t>
            </w:r>
          </w:p>
        </w:tc>
        <w:tc>
          <w:tcPr>
            <w:tcW w:w="1277"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＜2%</w:t>
            </w:r>
          </w:p>
        </w:tc>
      </w:tr>
      <w:tr>
        <w:tblPrEx>
          <w:tblCellMar>
            <w:top w:w="0" w:type="dxa"/>
            <w:left w:w="108" w:type="dxa"/>
            <w:bottom w:w="0" w:type="dxa"/>
            <w:right w:w="108" w:type="dxa"/>
          </w:tblCellMar>
        </w:tblPrEx>
        <w:trPr>
          <w:trHeight w:val="144" w:hRule="atLeast"/>
        </w:trPr>
        <w:tc>
          <w:tcPr>
            <w:tcW w:w="817" w:type="dxa"/>
            <w:vMerge w:val="continue"/>
            <w:tcBorders>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p>
        </w:tc>
        <w:tc>
          <w:tcPr>
            <w:tcW w:w="992"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溶剂型稀释剂</w:t>
            </w:r>
          </w:p>
        </w:tc>
        <w:tc>
          <w:tcPr>
            <w:tcW w:w="1560"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醇类、酯类、酮类、烷烃类有机溶剂</w:t>
            </w:r>
          </w:p>
        </w:tc>
        <w:tc>
          <w:tcPr>
            <w:tcW w:w="1275"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水性稀释剂</w:t>
            </w:r>
          </w:p>
        </w:tc>
        <w:tc>
          <w:tcPr>
            <w:tcW w:w="2126"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醇水混合物</w:t>
            </w:r>
          </w:p>
        </w:tc>
        <w:tc>
          <w:tcPr>
            <w:tcW w:w="1277"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＜30%</w:t>
            </w:r>
          </w:p>
        </w:tc>
      </w:tr>
      <w:tr>
        <w:tblPrEx>
          <w:tblCellMar>
            <w:top w:w="0" w:type="dxa"/>
            <w:left w:w="108" w:type="dxa"/>
            <w:bottom w:w="0" w:type="dxa"/>
            <w:right w:w="108" w:type="dxa"/>
          </w:tblCellMar>
        </w:tblPrEx>
        <w:trPr>
          <w:trHeight w:val="144" w:hRule="atLeast"/>
        </w:trPr>
        <w:tc>
          <w:tcPr>
            <w:tcW w:w="817" w:type="dxa"/>
            <w:vMerge w:val="continue"/>
            <w:tcBorders>
              <w:bottom w:val="single" w:color="auto" w:sz="4" w:space="0"/>
            </w:tcBorders>
          </w:tcPr>
          <w:p>
            <w:pPr>
              <w:rPr>
                <w:rFonts w:ascii="宋体" w:hAnsi="宋体" w:eastAsia="宋体"/>
                <w:b w:val="0"/>
                <w:bCs w:val="0"/>
                <w:color w:val="000000" w:themeColor="text1" w:themeShade="BF"/>
                <w:sz w:val="20"/>
                <w:szCs w:val="20"/>
              </w:rPr>
            </w:pPr>
          </w:p>
        </w:tc>
        <w:tc>
          <w:tcPr>
            <w:tcW w:w="992"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溶剂型清洗剂</w:t>
            </w:r>
          </w:p>
        </w:tc>
        <w:tc>
          <w:tcPr>
            <w:tcW w:w="1560"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醇类、酯类、酮类、烷烃类有机溶剂</w:t>
            </w:r>
          </w:p>
        </w:tc>
        <w:tc>
          <w:tcPr>
            <w:tcW w:w="1275"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水性清洗剂</w:t>
            </w:r>
          </w:p>
        </w:tc>
        <w:tc>
          <w:tcPr>
            <w:tcW w:w="2126"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醇水混合物</w:t>
            </w:r>
          </w:p>
        </w:tc>
        <w:tc>
          <w:tcPr>
            <w:tcW w:w="1277"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＜30%</w:t>
            </w:r>
          </w:p>
        </w:tc>
      </w:tr>
      <w:tr>
        <w:tblPrEx>
          <w:tblCellMar>
            <w:top w:w="0" w:type="dxa"/>
            <w:left w:w="108" w:type="dxa"/>
            <w:bottom w:w="0" w:type="dxa"/>
            <w:right w:w="108" w:type="dxa"/>
          </w:tblCellMar>
        </w:tblPrEx>
        <w:trPr>
          <w:trHeight w:val="315" w:hRule="atLeast"/>
        </w:trPr>
        <w:tc>
          <w:tcPr>
            <w:tcW w:w="817" w:type="dxa"/>
            <w:vMerge w:val="restart"/>
            <w:tcBorders>
              <w:top w:val="single" w:color="auto" w:sz="4" w:space="0"/>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孔版印刷</w:t>
            </w:r>
          </w:p>
          <w:p>
            <w:pPr>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/丝印</w:t>
            </w:r>
          </w:p>
        </w:tc>
        <w:tc>
          <w:tcPr>
            <w:tcW w:w="992"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溶剂型油墨</w:t>
            </w:r>
          </w:p>
        </w:tc>
        <w:tc>
          <w:tcPr>
            <w:tcW w:w="1560"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颜料、合成树脂、芳烃类、醚类、异佛尔酮</w:t>
            </w:r>
          </w:p>
        </w:tc>
        <w:tc>
          <w:tcPr>
            <w:tcW w:w="1275" w:type="dxa"/>
            <w:vMerge w:val="restart"/>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45%～70%</w:t>
            </w:r>
          </w:p>
        </w:tc>
        <w:tc>
          <w:tcPr>
            <w:tcW w:w="1418"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UV固化油墨</w:t>
            </w:r>
          </w:p>
        </w:tc>
        <w:tc>
          <w:tcPr>
            <w:tcW w:w="2126"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预聚物树脂（环氧丙烯酸酯、聚酯丙烯酸酯、丙烯酸氨基甲酸脂、聚醚丙烯酸脂</w:t>
            </w:r>
            <w:r>
              <w:rPr>
                <w:rFonts w:hint="eastAsia" w:ascii="宋体" w:hAnsi="宋体" w:eastAsia="宋体"/>
                <w:color w:val="000000" w:themeColor="text1" w:themeShade="BF"/>
              </w:rPr>
              <w:t>等）、</w:t>
            </w:r>
            <w:r>
              <w:rPr>
                <w:rFonts w:hint="eastAsia" w:ascii="Times New Roman" w:hAnsi="Times New Roman"/>
                <w:color w:val="000000" w:themeColor="text1" w:themeShade="BF"/>
              </w:rPr>
              <w:t>稀释剂单体</w:t>
            </w:r>
            <w:r>
              <w:rPr>
                <w:rFonts w:hint="eastAsia" w:ascii="宋体" w:hAnsi="宋体" w:eastAsia="宋体"/>
                <w:color w:val="000000" w:themeColor="text1" w:themeShade="BF"/>
              </w:rPr>
              <w:t>、</w:t>
            </w:r>
            <w:r>
              <w:rPr>
                <w:rFonts w:hint="eastAsia" w:ascii="Times New Roman" w:hAnsi="Times New Roman"/>
                <w:color w:val="000000" w:themeColor="text1" w:themeShade="BF"/>
              </w:rPr>
              <w:t>光引发剂</w:t>
            </w:r>
          </w:p>
        </w:tc>
        <w:tc>
          <w:tcPr>
            <w:tcW w:w="1277"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10～15%</w:t>
            </w:r>
          </w:p>
        </w:tc>
      </w:tr>
      <w:tr>
        <w:tblPrEx>
          <w:tblCellMar>
            <w:top w:w="0" w:type="dxa"/>
            <w:left w:w="108" w:type="dxa"/>
            <w:bottom w:w="0" w:type="dxa"/>
            <w:right w:w="108" w:type="dxa"/>
          </w:tblCellMar>
        </w:tblPrEx>
        <w:trPr>
          <w:trHeight w:val="315" w:hRule="atLeast"/>
        </w:trPr>
        <w:tc>
          <w:tcPr>
            <w:tcW w:w="817" w:type="dxa"/>
            <w:vMerge w:val="continue"/>
          </w:tcPr>
          <w:p>
            <w:pPr>
              <w:rPr>
                <w:rFonts w:ascii="宋体" w:hAnsi="宋体" w:eastAsia="宋体"/>
                <w:b w:val="0"/>
                <w:bCs w:val="0"/>
                <w:color w:val="000000" w:themeColor="text1" w:themeShade="BF"/>
                <w:sz w:val="20"/>
                <w:szCs w:val="20"/>
              </w:rPr>
            </w:pPr>
          </w:p>
        </w:tc>
        <w:tc>
          <w:tcPr>
            <w:tcW w:w="992" w:type="dxa"/>
            <w:vMerge w:val="continue"/>
          </w:tcPr>
          <w:p>
            <w:pPr>
              <w:rPr>
                <w:rFonts w:ascii="宋体" w:hAnsi="宋体" w:eastAsia="宋体"/>
                <w:color w:val="000000" w:themeColor="text1" w:themeShade="BF"/>
                <w:sz w:val="20"/>
                <w:szCs w:val="20"/>
              </w:rPr>
            </w:pPr>
          </w:p>
        </w:tc>
        <w:tc>
          <w:tcPr>
            <w:tcW w:w="1560" w:type="dxa"/>
            <w:vMerge w:val="continue"/>
          </w:tcPr>
          <w:p>
            <w:pPr>
              <w:rPr>
                <w:rFonts w:ascii="宋体" w:hAnsi="宋体" w:eastAsia="宋体"/>
                <w:color w:val="000000" w:themeColor="text1" w:themeShade="BF"/>
                <w:sz w:val="20"/>
                <w:szCs w:val="20"/>
              </w:rPr>
            </w:pPr>
          </w:p>
        </w:tc>
        <w:tc>
          <w:tcPr>
            <w:tcW w:w="1275" w:type="dxa"/>
            <w:vMerge w:val="continue"/>
          </w:tcPr>
          <w:p>
            <w:pPr>
              <w:rPr>
                <w:rFonts w:ascii="宋体" w:hAnsi="宋体" w:eastAsia="宋体"/>
                <w:color w:val="000000" w:themeColor="text1" w:themeShade="BF"/>
                <w:sz w:val="20"/>
                <w:szCs w:val="20"/>
              </w:rPr>
            </w:pPr>
          </w:p>
        </w:tc>
        <w:tc>
          <w:tcPr>
            <w:tcW w:w="1418"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水性油墨</w:t>
            </w:r>
          </w:p>
        </w:tc>
        <w:tc>
          <w:tcPr>
            <w:tcW w:w="2126"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树脂、水、颜料、助溶剂（酒精等）、助剂、水</w:t>
            </w:r>
          </w:p>
        </w:tc>
        <w:tc>
          <w:tcPr>
            <w:tcW w:w="1277"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0%～10%</w:t>
            </w:r>
          </w:p>
        </w:tc>
      </w:tr>
      <w:tr>
        <w:tblPrEx>
          <w:tblCellMar>
            <w:top w:w="0" w:type="dxa"/>
            <w:left w:w="108" w:type="dxa"/>
            <w:bottom w:w="0" w:type="dxa"/>
            <w:right w:w="108" w:type="dxa"/>
          </w:tblCellMar>
        </w:tblPrEx>
        <w:trPr>
          <w:trHeight w:val="315" w:hRule="atLeast"/>
        </w:trPr>
        <w:tc>
          <w:tcPr>
            <w:tcW w:w="817" w:type="dxa"/>
            <w:vMerge w:val="continue"/>
            <w:tcBorders>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p>
        </w:tc>
        <w:tc>
          <w:tcPr>
            <w:tcW w:w="992"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溶剂型稀释剂</w:t>
            </w:r>
          </w:p>
        </w:tc>
        <w:tc>
          <w:tcPr>
            <w:tcW w:w="1560"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乙醇、丙二醇甲醚、丙二醇甲醚醋酸酯、戊二酸二甲酯、异佛尔酮和石油醚</w:t>
            </w:r>
          </w:p>
        </w:tc>
        <w:tc>
          <w:tcPr>
            <w:tcW w:w="1275"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水性稀释剂</w:t>
            </w:r>
          </w:p>
        </w:tc>
        <w:tc>
          <w:tcPr>
            <w:tcW w:w="2126"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w:t>
            </w:r>
          </w:p>
        </w:tc>
        <w:tc>
          <w:tcPr>
            <w:tcW w:w="1277" w:type="dxa"/>
            <w:tcBorders>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817" w:type="dxa"/>
            <w:vMerge w:val="continue"/>
            <w:tcBorders>
              <w:bottom w:val="single" w:color="auto" w:sz="4" w:space="0"/>
            </w:tcBorders>
          </w:tcPr>
          <w:p>
            <w:pPr>
              <w:rPr>
                <w:rFonts w:ascii="宋体" w:hAnsi="宋体" w:eastAsia="宋体"/>
                <w:b w:val="0"/>
                <w:bCs w:val="0"/>
                <w:color w:val="000000" w:themeColor="text1" w:themeShade="BF"/>
                <w:sz w:val="20"/>
                <w:szCs w:val="20"/>
              </w:rPr>
            </w:pPr>
          </w:p>
        </w:tc>
        <w:tc>
          <w:tcPr>
            <w:tcW w:w="992"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溶剂型清洗剂</w:t>
            </w:r>
          </w:p>
        </w:tc>
        <w:tc>
          <w:tcPr>
            <w:tcW w:w="1560"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丙醇、二丙二醇单甲醚、正己烷</w:t>
            </w:r>
          </w:p>
        </w:tc>
        <w:tc>
          <w:tcPr>
            <w:tcW w:w="1275"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水性清洗剂</w:t>
            </w:r>
          </w:p>
        </w:tc>
        <w:tc>
          <w:tcPr>
            <w:tcW w:w="2126"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w:t>
            </w:r>
          </w:p>
        </w:tc>
        <w:tc>
          <w:tcPr>
            <w:tcW w:w="1277" w:type="dxa"/>
            <w:tcBorders>
              <w:bottom w:val="single" w:color="auto" w:sz="4" w:space="0"/>
            </w:tcBorders>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817" w:type="dxa"/>
            <w:vMerge w:val="restart"/>
            <w:tcBorders>
              <w:top w:val="single" w:color="auto" w:sz="4" w:space="0"/>
              <w:left w:val="nil"/>
              <w:right w:val="nil"/>
            </w:tcBorders>
            <w:shd w:val="clear" w:color="auto" w:fill="BFBFBF" w:themeFill="text1" w:themeFillTint="3F"/>
          </w:tcPr>
          <w:p>
            <w:pPr>
              <w:rPr>
                <w:rFonts w:ascii="宋体" w:hAnsi="宋体" w:eastAsia="宋体"/>
                <w:b w:val="0"/>
                <w:bCs w:val="0"/>
                <w:color w:val="000000" w:themeColor="text1" w:themeShade="BF"/>
                <w:sz w:val="20"/>
                <w:szCs w:val="20"/>
              </w:rPr>
            </w:pPr>
            <w:r>
              <w:rPr>
                <w:rFonts w:hint="eastAsia" w:ascii="Times New Roman" w:hAnsi="Times New Roman"/>
                <w:b/>
                <w:bCs/>
                <w:color w:val="000000" w:themeColor="text1" w:themeShade="BF"/>
              </w:rPr>
              <w:t>复合</w:t>
            </w:r>
          </w:p>
        </w:tc>
        <w:tc>
          <w:tcPr>
            <w:tcW w:w="992"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溶剂型胶粘剂</w:t>
            </w:r>
          </w:p>
        </w:tc>
        <w:tc>
          <w:tcPr>
            <w:tcW w:w="1560"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合成树脂、助剂、醇类、酯类、酮类、烷烃类有机溶剂</w:t>
            </w:r>
          </w:p>
        </w:tc>
        <w:tc>
          <w:tcPr>
            <w:tcW w:w="1275"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30-50%</w:t>
            </w:r>
          </w:p>
        </w:tc>
        <w:tc>
          <w:tcPr>
            <w:tcW w:w="1418"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水性胶粘剂</w:t>
            </w:r>
          </w:p>
        </w:tc>
        <w:tc>
          <w:tcPr>
            <w:tcW w:w="2126"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合成树脂、助剂、水</w:t>
            </w:r>
          </w:p>
        </w:tc>
        <w:tc>
          <w:tcPr>
            <w:tcW w:w="1277" w:type="dxa"/>
            <w:tcBorders>
              <w:top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约 5%</w:t>
            </w:r>
          </w:p>
        </w:tc>
      </w:tr>
      <w:tr>
        <w:tblPrEx>
          <w:tblCellMar>
            <w:top w:w="0" w:type="dxa"/>
            <w:left w:w="108" w:type="dxa"/>
            <w:bottom w:w="0" w:type="dxa"/>
            <w:right w:w="108" w:type="dxa"/>
          </w:tblCellMar>
        </w:tblPrEx>
        <w:trPr>
          <w:trHeight w:val="315" w:hRule="atLeast"/>
        </w:trPr>
        <w:tc>
          <w:tcPr>
            <w:tcW w:w="817" w:type="dxa"/>
            <w:vMerge w:val="continue"/>
          </w:tcPr>
          <w:p>
            <w:pPr>
              <w:rPr>
                <w:rFonts w:ascii="宋体" w:hAnsi="宋体" w:eastAsia="宋体"/>
                <w:b w:val="0"/>
                <w:bCs w:val="0"/>
                <w:color w:val="000000" w:themeColor="text1" w:themeShade="BF"/>
                <w:sz w:val="20"/>
                <w:szCs w:val="20"/>
              </w:rPr>
            </w:pPr>
          </w:p>
        </w:tc>
        <w:tc>
          <w:tcPr>
            <w:tcW w:w="992"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溶剂型稀释剂</w:t>
            </w:r>
          </w:p>
        </w:tc>
        <w:tc>
          <w:tcPr>
            <w:tcW w:w="1560"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醇类、酯类、酮类、烷烃类有机溶剂</w:t>
            </w:r>
          </w:p>
        </w:tc>
        <w:tc>
          <w:tcPr>
            <w:tcW w:w="1275"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水性清洗剂</w:t>
            </w:r>
          </w:p>
        </w:tc>
        <w:tc>
          <w:tcPr>
            <w:tcW w:w="2126"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水</w:t>
            </w:r>
          </w:p>
        </w:tc>
        <w:tc>
          <w:tcPr>
            <w:tcW w:w="1277" w:type="dxa"/>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w:t>
            </w:r>
          </w:p>
        </w:tc>
      </w:tr>
      <w:tr>
        <w:tblPrEx>
          <w:tblCellMar>
            <w:top w:w="0" w:type="dxa"/>
            <w:left w:w="108" w:type="dxa"/>
            <w:bottom w:w="0" w:type="dxa"/>
            <w:right w:w="108" w:type="dxa"/>
          </w:tblCellMar>
        </w:tblPrEx>
        <w:trPr>
          <w:trHeight w:val="315" w:hRule="atLeast"/>
        </w:trPr>
        <w:tc>
          <w:tcPr>
            <w:tcW w:w="817" w:type="dxa"/>
            <w:vMerge w:val="continue"/>
            <w:tcBorders>
              <w:left w:val="nil"/>
              <w:bottom w:val="single" w:color="auto" w:sz="4" w:space="0"/>
              <w:right w:val="nil"/>
            </w:tcBorders>
            <w:shd w:val="clear" w:color="auto" w:fill="BFBFBF" w:themeFill="text1" w:themeFillTint="3F"/>
          </w:tcPr>
          <w:p>
            <w:pPr>
              <w:rPr>
                <w:rFonts w:ascii="宋体" w:hAnsi="宋体" w:eastAsia="宋体"/>
                <w:b w:val="0"/>
                <w:bCs w:val="0"/>
                <w:color w:val="000000" w:themeColor="text1" w:themeShade="BF"/>
                <w:sz w:val="20"/>
                <w:szCs w:val="20"/>
              </w:rPr>
            </w:pPr>
          </w:p>
        </w:tc>
        <w:tc>
          <w:tcPr>
            <w:tcW w:w="992" w:type="dxa"/>
            <w:tcBorders>
              <w:bottom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溶剂型清洗剂</w:t>
            </w:r>
          </w:p>
        </w:tc>
        <w:tc>
          <w:tcPr>
            <w:tcW w:w="1560" w:type="dxa"/>
            <w:tcBorders>
              <w:bottom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醇类、酯类、酮类、烷烃类有机溶剂</w:t>
            </w:r>
          </w:p>
        </w:tc>
        <w:tc>
          <w:tcPr>
            <w:tcW w:w="1275" w:type="dxa"/>
            <w:tcBorders>
              <w:bottom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100%</w:t>
            </w:r>
          </w:p>
        </w:tc>
        <w:tc>
          <w:tcPr>
            <w:tcW w:w="1418" w:type="dxa"/>
            <w:tcBorders>
              <w:bottom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无溶剂胶粘剂</w:t>
            </w:r>
          </w:p>
        </w:tc>
        <w:tc>
          <w:tcPr>
            <w:tcW w:w="2126" w:type="dxa"/>
            <w:tcBorders>
              <w:bottom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合成树脂、助剂</w:t>
            </w:r>
          </w:p>
        </w:tc>
        <w:tc>
          <w:tcPr>
            <w:tcW w:w="1277" w:type="dxa"/>
            <w:tcBorders>
              <w:bottom w:val="single" w:color="auto" w:sz="4" w:space="0"/>
              <w:right w:val="nil"/>
            </w:tcBorders>
            <w:shd w:val="clear" w:color="auto" w:fill="BFBFBF" w:themeFill="text1" w:themeFillTint="3F"/>
          </w:tcPr>
          <w:p>
            <w:pPr>
              <w:rPr>
                <w:rFonts w:ascii="宋体" w:hAnsi="宋体" w:eastAsia="宋体"/>
                <w:color w:val="000000" w:themeColor="text1" w:themeShade="BF"/>
                <w:sz w:val="20"/>
                <w:szCs w:val="20"/>
              </w:rPr>
            </w:pPr>
            <w:r>
              <w:rPr>
                <w:rFonts w:hint="eastAsia" w:ascii="Times New Roman" w:hAnsi="Times New Roman"/>
                <w:color w:val="000000" w:themeColor="text1" w:themeShade="BF"/>
              </w:rPr>
              <w:t>0%</w:t>
            </w:r>
          </w:p>
        </w:tc>
      </w:tr>
    </w:tbl>
    <w:p>
      <w:pPr>
        <w:pStyle w:val="25"/>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Symath">
    <w:altName w:val="Segoe Print"/>
    <w:panose1 w:val="00000000000000000000"/>
    <w:charset w:val="00"/>
    <w:family w:val="auto"/>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29594"/>
    </w:sdtPr>
    <w:sdtContent>
      <w:p>
        <w:pPr>
          <w:pStyle w:val="6"/>
          <w:ind w:firstLine="360"/>
          <w:jc w:val="center"/>
        </w:pPr>
        <w:r>
          <w:fldChar w:fldCharType="begin"/>
        </w:r>
        <w:r>
          <w:instrText xml:space="preserve">PAGE   \* MERGEFORMAT</w:instrText>
        </w:r>
        <w:r>
          <w:fldChar w:fldCharType="separate"/>
        </w:r>
        <w:r>
          <w:rPr>
            <w:lang w:val="zh-CN"/>
          </w:rPr>
          <w:t>10</w:t>
        </w:r>
        <w:r>
          <w:fldChar w:fldCharType="end"/>
        </w:r>
      </w:p>
    </w:sdtContent>
  </w:sdt>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eastAsia="楷体"/>
      </w:rPr>
    </w:pPr>
    <w:r>
      <w:rPr>
        <w:rFonts w:hint="eastAsia" w:ascii="楷体" w:hAnsi="楷体" w:eastAsia="楷体"/>
        <w:b/>
      </w:rPr>
      <w:t>中山市工业涂装、包装印刷行业挥发性有机物废气控制技术指引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85"/>
    <w:rsid w:val="00030DBD"/>
    <w:rsid w:val="000572EC"/>
    <w:rsid w:val="00064AB9"/>
    <w:rsid w:val="00085BFD"/>
    <w:rsid w:val="000B23F8"/>
    <w:rsid w:val="000E0DBE"/>
    <w:rsid w:val="000E5128"/>
    <w:rsid w:val="001228C0"/>
    <w:rsid w:val="001413F4"/>
    <w:rsid w:val="00151B78"/>
    <w:rsid w:val="00183669"/>
    <w:rsid w:val="001A2E3B"/>
    <w:rsid w:val="001E0631"/>
    <w:rsid w:val="001F5554"/>
    <w:rsid w:val="002072E4"/>
    <w:rsid w:val="00240A06"/>
    <w:rsid w:val="00257CC4"/>
    <w:rsid w:val="00290149"/>
    <w:rsid w:val="002A08B3"/>
    <w:rsid w:val="002D5E6A"/>
    <w:rsid w:val="002E4734"/>
    <w:rsid w:val="002F70B0"/>
    <w:rsid w:val="003321F5"/>
    <w:rsid w:val="00393542"/>
    <w:rsid w:val="003A659A"/>
    <w:rsid w:val="003C4EF6"/>
    <w:rsid w:val="003D3A88"/>
    <w:rsid w:val="00401AA8"/>
    <w:rsid w:val="00407E8F"/>
    <w:rsid w:val="00412FF8"/>
    <w:rsid w:val="00443D0F"/>
    <w:rsid w:val="0045604D"/>
    <w:rsid w:val="004711BA"/>
    <w:rsid w:val="004A589F"/>
    <w:rsid w:val="004B074F"/>
    <w:rsid w:val="004D05DB"/>
    <w:rsid w:val="00547332"/>
    <w:rsid w:val="005624AA"/>
    <w:rsid w:val="00617C17"/>
    <w:rsid w:val="006A1BF7"/>
    <w:rsid w:val="006A5043"/>
    <w:rsid w:val="00722692"/>
    <w:rsid w:val="007F5FAC"/>
    <w:rsid w:val="00811464"/>
    <w:rsid w:val="008B011A"/>
    <w:rsid w:val="008F7742"/>
    <w:rsid w:val="0091165C"/>
    <w:rsid w:val="009565E4"/>
    <w:rsid w:val="00962F83"/>
    <w:rsid w:val="00995AD6"/>
    <w:rsid w:val="009C0E45"/>
    <w:rsid w:val="009F18D6"/>
    <w:rsid w:val="00A04A00"/>
    <w:rsid w:val="00A204CC"/>
    <w:rsid w:val="00A21677"/>
    <w:rsid w:val="00AA4FD0"/>
    <w:rsid w:val="00AA6266"/>
    <w:rsid w:val="00AC2D2D"/>
    <w:rsid w:val="00AC5CAC"/>
    <w:rsid w:val="00B044E5"/>
    <w:rsid w:val="00B22B96"/>
    <w:rsid w:val="00B45E07"/>
    <w:rsid w:val="00B629DA"/>
    <w:rsid w:val="00B864A4"/>
    <w:rsid w:val="00BB248D"/>
    <w:rsid w:val="00BB4359"/>
    <w:rsid w:val="00C23835"/>
    <w:rsid w:val="00C32207"/>
    <w:rsid w:val="00C42A74"/>
    <w:rsid w:val="00C57179"/>
    <w:rsid w:val="00C64777"/>
    <w:rsid w:val="00CA16D5"/>
    <w:rsid w:val="00CA4FE8"/>
    <w:rsid w:val="00CC2C38"/>
    <w:rsid w:val="00CD34BA"/>
    <w:rsid w:val="00CD463E"/>
    <w:rsid w:val="00D07E59"/>
    <w:rsid w:val="00D46FD6"/>
    <w:rsid w:val="00D873A4"/>
    <w:rsid w:val="00DB3D3E"/>
    <w:rsid w:val="00DC518E"/>
    <w:rsid w:val="00E20817"/>
    <w:rsid w:val="00E45626"/>
    <w:rsid w:val="00ED53DE"/>
    <w:rsid w:val="00F00316"/>
    <w:rsid w:val="00F27176"/>
    <w:rsid w:val="00F35042"/>
    <w:rsid w:val="00F53385"/>
    <w:rsid w:val="00F63492"/>
    <w:rsid w:val="00F77234"/>
    <w:rsid w:val="00F90ECD"/>
    <w:rsid w:val="00F936D6"/>
    <w:rsid w:val="00FF6730"/>
    <w:rsid w:val="02D53C6E"/>
    <w:rsid w:val="13412846"/>
    <w:rsid w:val="23F545DD"/>
    <w:rsid w:val="26D11D5E"/>
    <w:rsid w:val="2C9C1B22"/>
    <w:rsid w:val="2C9F2AA7"/>
    <w:rsid w:val="41F62429"/>
    <w:rsid w:val="45A4052B"/>
    <w:rsid w:val="4815149E"/>
    <w:rsid w:val="4A3115DA"/>
    <w:rsid w:val="5A7760FA"/>
    <w:rsid w:val="5FA0003A"/>
    <w:rsid w:val="7235495C"/>
    <w:rsid w:val="73755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8">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Document Map"/>
    <w:basedOn w:val="1"/>
    <w:link w:val="38"/>
    <w:unhideWhenUsed/>
    <w:uiPriority w:val="99"/>
    <w:rPr>
      <w:rFonts w:ascii="宋体" w:eastAsia="宋体"/>
      <w:sz w:val="18"/>
      <w:szCs w:val="18"/>
    </w:rPr>
  </w:style>
  <w:style w:type="paragraph" w:styleId="3">
    <w:name w:val="annotation text"/>
    <w:basedOn w:val="1"/>
    <w:link w:val="32"/>
    <w:unhideWhenUsed/>
    <w:qFormat/>
    <w:uiPriority w:val="99"/>
    <w:pPr>
      <w:jc w:val="left"/>
    </w:pPr>
  </w:style>
  <w:style w:type="paragraph" w:styleId="4">
    <w:name w:val="toc 3"/>
    <w:basedOn w:val="1"/>
    <w:next w:val="1"/>
    <w:unhideWhenUsed/>
    <w:qFormat/>
    <w:uiPriority w:val="39"/>
    <w:pPr>
      <w:ind w:left="840" w:leftChars="400"/>
    </w:pPr>
  </w:style>
  <w:style w:type="paragraph" w:styleId="5">
    <w:name w:val="Balloon Text"/>
    <w:basedOn w:val="1"/>
    <w:link w:val="30"/>
    <w:unhideWhenUsed/>
    <w:qFormat/>
    <w:uiPriority w:val="99"/>
    <w:rPr>
      <w:sz w:val="18"/>
      <w:szCs w:val="18"/>
    </w:rPr>
  </w:style>
  <w:style w:type="paragraph" w:styleId="6">
    <w:name w:val="footer"/>
    <w:basedOn w:val="1"/>
    <w:link w:val="29"/>
    <w:unhideWhenUsed/>
    <w:qFormat/>
    <w:uiPriority w:val="99"/>
    <w:pPr>
      <w:tabs>
        <w:tab w:val="center" w:pos="4153"/>
        <w:tab w:val="right" w:pos="8306"/>
      </w:tabs>
      <w:snapToGrid w:val="0"/>
      <w:ind w:firstLine="200" w:firstLineChars="200"/>
      <w:jc w:val="left"/>
    </w:pPr>
    <w:rPr>
      <w:rFonts w:ascii="Times New Roman" w:hAnsi="Times New Roman" w:eastAsia="宋体" w:cs="Times New Roman"/>
      <w:sz w:val="18"/>
      <w:szCs w:val="18"/>
    </w:rPr>
  </w:style>
  <w:style w:type="paragraph" w:styleId="7">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hyphen" w:pos="8296"/>
      </w:tabs>
      <w:jc w:val="center"/>
    </w:pPr>
    <w:rPr>
      <w:b/>
      <w:sz w:val="44"/>
      <w:szCs w:val="44"/>
    </w:rPr>
  </w:style>
  <w:style w:type="paragraph" w:styleId="9">
    <w:name w:val="toc 2"/>
    <w:basedOn w:val="1"/>
    <w:next w:val="1"/>
    <w:unhideWhenUsed/>
    <w:qFormat/>
    <w:uiPriority w:val="39"/>
    <w:pPr>
      <w:ind w:left="420" w:leftChars="200"/>
    </w:pPr>
  </w:style>
  <w:style w:type="paragraph" w:styleId="10">
    <w:name w:val="annotation subject"/>
    <w:basedOn w:val="3"/>
    <w:next w:val="3"/>
    <w:link w:val="33"/>
    <w:unhideWhenUsed/>
    <w:qFormat/>
    <w:uiPriority w:val="99"/>
    <w:rPr>
      <w:b/>
      <w:bCs/>
    </w:rPr>
  </w:style>
  <w:style w:type="table" w:styleId="12">
    <w:name w:val="Table Grid"/>
    <w:basedOn w:val="11"/>
    <w:qFormat/>
    <w:uiPriority w:val="59"/>
    <w:tblPr>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
    <w:trPr>
      <w:jc w:val="center"/>
    </w:trPr>
  </w:style>
  <w:style w:type="table" w:styleId="13">
    <w:name w:val="Light Shading"/>
    <w:basedOn w:val="11"/>
    <w:qFormat/>
    <w:uiPriority w:val="60"/>
    <w:pPr>
      <w:jc w:val="center"/>
    </w:pPr>
    <w:rPr>
      <w:rFonts w:ascii="Times New Roman" w:hAnsi="Times New Roman"/>
      <w:color w:val="000000" w:themeColor="text1" w:themeShade="BF"/>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6" w:space="0"/>
        <w:insideV w:val="single" w:color="000000" w:themeColor="text1" w:sz="6"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4">
    <w:name w:val="Light Shading Accent 1"/>
    <w:basedOn w:val="11"/>
    <w:qFormat/>
    <w:uiPriority w:val="60"/>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2"/>
    <w:basedOn w:val="11"/>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DDEDD6"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DDEDD6" w:themeFill="background1"/>
      </w:tcPr>
    </w:tblStylePr>
    <w:tblStylePr w:type="firstCol">
      <w:rPr>
        <w:b/>
        <w:bCs/>
        <w:color w:val="DDEDD6"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DDEDD6"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5D7A6" w:themeFill="background1" w:themeFillShade="D8"/>
      </w:tcPr>
    </w:tblStylePr>
    <w:tblStylePr w:type="band1Horz">
      <w:tblPr/>
      <w:tcPr>
        <w:shd w:val="clear" w:color="auto" w:fill="B5D7A6"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DDEDD6"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
    <w:name w:val="Medium List 1"/>
    <w:basedOn w:val="11"/>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7">
    <w:name w:val="Medium List 1 Accent 1"/>
    <w:basedOn w:val="11"/>
    <w:qFormat/>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unhideWhenUsed/>
    <w:qFormat/>
    <w:uiPriority w:val="99"/>
    <w:rPr>
      <w:sz w:val="21"/>
      <w:szCs w:val="21"/>
    </w:rPr>
  </w:style>
  <w:style w:type="paragraph" w:customStyle="1" w:styleId="21">
    <w:name w:val="指南标题一"/>
    <w:basedOn w:val="1"/>
    <w:qFormat/>
    <w:uiPriority w:val="0"/>
    <w:pPr>
      <w:spacing w:afterLines="50"/>
      <w:jc w:val="center"/>
      <w:outlineLvl w:val="0"/>
    </w:pPr>
    <w:rPr>
      <w:rFonts w:ascii="Times New Roman" w:hAnsi="Times New Roman"/>
      <w:b/>
      <w:sz w:val="30"/>
      <w:szCs w:val="30"/>
    </w:rPr>
  </w:style>
  <w:style w:type="paragraph" w:customStyle="1" w:styleId="22">
    <w:name w:val="指南标题2"/>
    <w:basedOn w:val="1"/>
    <w:qFormat/>
    <w:uiPriority w:val="0"/>
    <w:pPr>
      <w:spacing w:beforeLines="50" w:afterLines="50"/>
      <w:ind w:firstLine="560" w:firstLineChars="200"/>
      <w:jc w:val="left"/>
      <w:outlineLvl w:val="1"/>
    </w:pPr>
    <w:rPr>
      <w:rFonts w:ascii="Times New Roman" w:hAnsi="Times New Roman"/>
      <w:b/>
      <w:sz w:val="28"/>
    </w:rPr>
  </w:style>
  <w:style w:type="paragraph" w:customStyle="1" w:styleId="23">
    <w:name w:val="指南标题3"/>
    <w:basedOn w:val="21"/>
    <w:qFormat/>
    <w:uiPriority w:val="0"/>
    <w:pPr>
      <w:spacing w:beforeLines="50"/>
      <w:ind w:firstLine="562" w:firstLineChars="200"/>
      <w:jc w:val="left"/>
      <w:outlineLvl w:val="2"/>
    </w:pPr>
    <w:rPr>
      <w:sz w:val="28"/>
    </w:rPr>
  </w:style>
  <w:style w:type="paragraph" w:customStyle="1" w:styleId="24">
    <w:name w:val="指南标题4"/>
    <w:basedOn w:val="23"/>
    <w:qFormat/>
    <w:uiPriority w:val="0"/>
    <w:pPr>
      <w:outlineLvl w:val="3"/>
    </w:pPr>
  </w:style>
  <w:style w:type="paragraph" w:customStyle="1" w:styleId="25">
    <w:name w:val="指南正文"/>
    <w:basedOn w:val="22"/>
    <w:qFormat/>
    <w:uiPriority w:val="0"/>
    <w:pPr>
      <w:spacing w:beforeLines="0" w:afterLines="0" w:line="360" w:lineRule="auto"/>
      <w:ind w:firstLine="480"/>
      <w:outlineLvl w:val="9"/>
    </w:pPr>
    <w:rPr>
      <w:b w:val="0"/>
      <w:bCs/>
      <w:sz w:val="24"/>
    </w:rPr>
  </w:style>
  <w:style w:type="paragraph" w:customStyle="1" w:styleId="26">
    <w:name w:val="指南表格标题"/>
    <w:basedOn w:val="25"/>
    <w:qFormat/>
    <w:uiPriority w:val="0"/>
    <w:pPr>
      <w:ind w:firstLine="0" w:firstLineChars="0"/>
      <w:jc w:val="center"/>
    </w:pPr>
    <w:rPr>
      <w:b/>
    </w:rPr>
  </w:style>
  <w:style w:type="paragraph" w:customStyle="1" w:styleId="27">
    <w:name w:val="指南表格"/>
    <w:basedOn w:val="26"/>
    <w:qFormat/>
    <w:uiPriority w:val="0"/>
    <w:pPr>
      <w:spacing w:line="240" w:lineRule="auto"/>
      <w:jc w:val="both"/>
    </w:pPr>
    <w:rPr>
      <w:b w:val="0"/>
      <w:sz w:val="21"/>
    </w:rPr>
  </w:style>
  <w:style w:type="character" w:customStyle="1" w:styleId="28">
    <w:name w:val="页眉 Char"/>
    <w:basedOn w:val="18"/>
    <w:link w:val="7"/>
    <w:qFormat/>
    <w:uiPriority w:val="99"/>
    <w:rPr>
      <w:sz w:val="18"/>
      <w:szCs w:val="18"/>
    </w:rPr>
  </w:style>
  <w:style w:type="character" w:customStyle="1" w:styleId="29">
    <w:name w:val="页脚 Char"/>
    <w:basedOn w:val="18"/>
    <w:link w:val="6"/>
    <w:qFormat/>
    <w:uiPriority w:val="99"/>
    <w:rPr>
      <w:rFonts w:ascii="Times New Roman" w:hAnsi="Times New Roman" w:eastAsia="宋体" w:cs="Times New Roman"/>
      <w:sz w:val="18"/>
      <w:szCs w:val="18"/>
    </w:rPr>
  </w:style>
  <w:style w:type="character" w:customStyle="1" w:styleId="30">
    <w:name w:val="批注框文本 Char"/>
    <w:basedOn w:val="18"/>
    <w:link w:val="5"/>
    <w:semiHidden/>
    <w:qFormat/>
    <w:uiPriority w:val="99"/>
    <w:rPr>
      <w:sz w:val="18"/>
      <w:szCs w:val="18"/>
    </w:rPr>
  </w:style>
  <w:style w:type="paragraph" w:customStyle="1" w:styleId="31">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2">
    <w:name w:val="批注文字 Char"/>
    <w:basedOn w:val="18"/>
    <w:link w:val="3"/>
    <w:semiHidden/>
    <w:qFormat/>
    <w:uiPriority w:val="99"/>
  </w:style>
  <w:style w:type="character" w:customStyle="1" w:styleId="33">
    <w:name w:val="批注主题 Char"/>
    <w:basedOn w:val="32"/>
    <w:link w:val="10"/>
    <w:semiHidden/>
    <w:qFormat/>
    <w:uiPriority w:val="99"/>
    <w:rPr>
      <w:b/>
      <w:bCs/>
    </w:rPr>
  </w:style>
  <w:style w:type="character" w:customStyle="1" w:styleId="34">
    <w:name w:val="占位符文本1"/>
    <w:basedOn w:val="18"/>
    <w:unhideWhenUsed/>
    <w:qFormat/>
    <w:uiPriority w:val="99"/>
    <w:rPr>
      <w:color w:val="808080"/>
    </w:rPr>
  </w:style>
  <w:style w:type="table" w:customStyle="1" w:styleId="35">
    <w:name w:val="浅色底纹1"/>
    <w:basedOn w:val="11"/>
    <w:qFormat/>
    <w:uiPriority w:val="60"/>
    <w:pPr>
      <w:jc w:val="center"/>
    </w:pPr>
    <w:rPr>
      <w:rFonts w:ascii="Times New Roman" w:hAnsi="Times New Roman"/>
      <w:color w:val="000000" w:themeColor="text1" w:themeShade="BF"/>
    </w:rPr>
    <w:tblPr>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6">
    <w:name w:val="浅色底纹2"/>
    <w:basedOn w:val="11"/>
    <w:qFormat/>
    <w:uiPriority w:val="60"/>
    <w:pPr>
      <w:jc w:val="center"/>
    </w:pPr>
    <w:rPr>
      <w:rFonts w:ascii="Times New Roman" w:hAnsi="Times New Roman"/>
      <w:color w:val="000000" w:themeColor="text1" w:themeShade="BF"/>
    </w:rPr>
    <w:tblPr>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7">
    <w:name w:val="浅色底纹3"/>
    <w:basedOn w:val="11"/>
    <w:qFormat/>
    <w:uiPriority w:val="60"/>
    <w:pPr>
      <w:jc w:val="center"/>
    </w:pPr>
    <w:rPr>
      <w:rFonts w:ascii="Times New Roman" w:hAnsi="Times New Roman"/>
      <w:color w:val="000000" w:themeColor="text1" w:themeShade="BF"/>
    </w:rPr>
    <w:tblPr>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38">
    <w:name w:val="文档结构图 Char"/>
    <w:basedOn w:val="18"/>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DED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A60DF-F32A-4A56-95DB-A0AAA4DBE9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3138</Words>
  <Characters>17888</Characters>
  <Lines>149</Lines>
  <Paragraphs>41</Paragraphs>
  <TotalTime>15</TotalTime>
  <ScaleCrop>false</ScaleCrop>
  <LinksUpToDate>false</LinksUpToDate>
  <CharactersWithSpaces>20985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2019-07-24T10:16:00Z</dcterms:created>
  <dc:creator>xb21cn</dc:creator>
  <cp:lastModifiedBy>Wish.</cp:lastModifiedBy>
  <dcterms:modified xsi:type="dcterms:W3CDTF">2022-04-25T02:02:37Z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