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人：中山市迪宝诺纺织洗染有限公司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w:t>
      </w:r>
      <w:r>
        <w:rPr>
          <w:rFonts w:ascii="Helvetica" w:hAnsi="Helvetica" w:eastAsia="Helvetica" w:cs="Helvetica"/>
          <w:i w:val="0"/>
          <w:iCs w:val="0"/>
          <w:caps w:val="0"/>
          <w:color w:val="333333"/>
          <w:spacing w:val="0"/>
          <w:sz w:val="21"/>
          <w:szCs w:val="21"/>
          <w:shd w:val="clear" w:color="auto" w:fill="FFFFFF"/>
        </w:rPr>
        <w:t> </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"https://aiqicha.baidu.com/person?personId=e0c4388d718aa6e0062f25343ac1e408&amp;entry=2115" \t "https://aiqicha.baidu.com/detail/_blank"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林效良</w:t>
      </w:r>
      <w:r>
        <w:rPr>
          <w:rFonts w:hint="default" w:ascii="仿宋_GB2312" w:hAnsi="仿宋_GB2312" w:eastAsia="仿宋_GB2312" w:cs="仿宋_GB2312"/>
          <w:color w:val="00000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所：中山市民众镇沙仔工业园沙仔路5号第一卡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w:t>
      </w:r>
      <w:r>
        <w:rPr>
          <w:rFonts w:hint="eastAsia" w:ascii="仿宋_GB2312" w:hAnsi="宋体" w:eastAsia="仿宋_GB2312"/>
          <w:color w:val="000000"/>
          <w:sz w:val="32"/>
          <w:szCs w:val="32"/>
        </w:rPr>
        <w:t>9144200078386834X6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中山市迪宝诺纺织洗染有限公司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w:t>
      </w:r>
      <w:r>
        <w:rPr>
          <w:rFonts w:hint="default" w:ascii="仿宋_GB2312" w:hAnsi="仿宋_GB2312" w:eastAsia="仿宋_GB2312" w:cs="仿宋_GB2312"/>
          <w:color w:val="000000"/>
          <w:kern w:val="2"/>
          <w:sz w:val="32"/>
          <w:szCs w:val="32"/>
          <w:lang w:val="en" w:eastAsia="zh-CN" w:bidi="ar-SA"/>
        </w:rPr>
        <w:t>2</w:t>
      </w:r>
      <w:r>
        <w:rPr>
          <w:rFonts w:hint="eastAsia" w:ascii="仿宋_GB2312" w:hAnsi="仿宋_GB2312" w:eastAsia="仿宋_GB2312" w:cs="仿宋_GB2312"/>
          <w:color w:val="000000"/>
          <w:kern w:val="2"/>
          <w:sz w:val="32"/>
          <w:szCs w:val="32"/>
          <w:lang w:val="en-US" w:eastAsia="zh-CN" w:bidi="ar-SA"/>
        </w:rPr>
        <w:t>年5月16日，环境执法人员对你公司进行现场检查发现，你公司第一车间、第三车间扩建了染色项目，该项目需配套的环境保护设施未经验收合格，于2018年至2019年投入生产使用，从事服装洗水漂染等。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建设项目环境保护管理条例》第十九条第一款关于“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执法人员于2022年5月16日对你公司进行现场检查时制作的《中山市人民政府民众街道办事处现场检查笔录》及现场检查照片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执法人员于2022年5月16日对孙锦枝进行询问时制作的《中山市人民政府民众街道办事处询问笔录》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执法人员于2022年5月16日对史廷锋进行询问时制作的《中山市人民政府民众街道办事处询问笔录》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执法人员于2022年5月16日对庞国君进行询问时制作的《中山市人民政府民众街道办事处询问笔录》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执法人员于2022年5月26日对你公司进行现场检查时制作的《中山市人民政府民众街道办事处现场检查笔录》及现场检查照片</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执法人员于2022年5月27日对冯灼雄进行询问时制作的《中山市人民政府民众街道办事处询问笔录》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执法人员于2022年6月20日对庞国君进行询问时制作的《中山市人民政府民众街道办事处询问笔录》</w:t>
      </w:r>
    </w:p>
    <w:p>
      <w:pPr>
        <w:pStyle w:val="2"/>
        <w:ind w:left="0" w:leftChars="0"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执法人员于2022年7月5日对庞国君进行询问时制作的《中山市人民政府民众街道办事处询问笔录》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、你公司致我局的《听证申请书》、《申辩书》及《</w:t>
      </w:r>
      <w:r>
        <w:rPr>
          <w:rFonts w:hint="eastAsia" w:ascii="仿宋_GB2312" w:hAnsi="仿宋_GB2312" w:eastAsia="仿宋_GB2312" w:cs="仿宋_GB2312"/>
          <w:color w:val="auto"/>
          <w:kern w:val="2"/>
          <w:sz w:val="32"/>
          <w:szCs w:val="32"/>
          <w:lang w:val="en-US" w:eastAsia="zh-CN" w:bidi="ar-SA"/>
        </w:rPr>
        <w:t>中山市迪宝诺纺织洗染有限公司、庞国君</w:t>
      </w:r>
      <w:r>
        <w:rPr>
          <w:rFonts w:hint="eastAsia" w:ascii="仿宋_GB2312" w:hAnsi="仿宋_GB2312" w:eastAsia="仿宋_GB2312" w:cs="仿宋_GB2312"/>
          <w:color w:val="auto"/>
          <w:sz w:val="32"/>
          <w:szCs w:val="32"/>
          <w:lang w:eastAsia="zh-CN"/>
        </w:rPr>
        <w:t>行政处罚案听证笔录》</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经复核，我局部分采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保护管理条例》第二十三条第一款的规定，并对照《广东省生态环境违法行为行政处罚罚款金额裁量表》（粤环发[2021]7号）第一章环评类第八条裁量标准以及《广东省生态环境行政处罚自由裁量权规定》第十四条第一款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对你公司处罚款人民币三十二万二千元。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10FB1E7B"/>
    <w:rsid w:val="1DE52597"/>
    <w:rsid w:val="32591705"/>
    <w:rsid w:val="3CAD79F1"/>
    <w:rsid w:val="418E5F9D"/>
    <w:rsid w:val="42170C09"/>
    <w:rsid w:val="4961028C"/>
    <w:rsid w:val="4BE865BC"/>
    <w:rsid w:val="4D160508"/>
    <w:rsid w:val="4EA60EE0"/>
    <w:rsid w:val="50AC6400"/>
    <w:rsid w:val="5EF90EE4"/>
    <w:rsid w:val="5EFF04D1"/>
    <w:rsid w:val="6DF2DB15"/>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WPS_1561811017</cp:lastModifiedBy>
  <dcterms:modified xsi:type="dcterms:W3CDTF">2022-12-30T03:23:35Z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52F6EE4B8BBC47938EBBB8FA78BD10BB</vt:lpwstr>
  </property>
</Properties>
</file>