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255"/>
          <w:numId w:val="0"/>
        </w:numPr>
      </w:pPr>
      <w:r>
        <w:t xml:space="preserve">附件1 </w:t>
      </w:r>
    </w:p>
    <w:p>
      <w:pPr>
        <w:pStyle w:val="2"/>
        <w:numPr>
          <w:ilvl w:val="255"/>
          <w:numId w:val="0"/>
        </w:numPr>
        <w:jc w:val="center"/>
        <w:rPr>
          <w:rFonts w:hint="eastAsia" w:ascii="创艺简标宋" w:hAnsi="创艺简标宋" w:eastAsia="创艺简标宋" w:cs="创艺简标宋"/>
          <w:b w:val="0"/>
          <w:bCs w:val="0"/>
          <w:sz w:val="36"/>
          <w:szCs w:val="36"/>
        </w:rPr>
      </w:pPr>
      <w:r>
        <w:rPr>
          <w:rFonts w:hint="eastAsia" w:ascii="创艺简标宋" w:hAnsi="创艺简标宋" w:eastAsia="创艺简标宋" w:cs="创艺简标宋"/>
          <w:b w:val="0"/>
          <w:bCs w:val="0"/>
          <w:sz w:val="36"/>
          <w:szCs w:val="36"/>
        </w:rPr>
        <w:t>工业</w:t>
      </w:r>
      <w:r>
        <w:rPr>
          <w:rFonts w:hint="eastAsia" w:ascii="创艺简标宋" w:hAnsi="创艺简标宋" w:eastAsia="创艺简标宋" w:cs="创艺简标宋"/>
          <w:b w:val="0"/>
          <w:bCs w:val="0"/>
          <w:sz w:val="36"/>
          <w:szCs w:val="36"/>
          <w:lang w:eastAsia="zh-CN"/>
        </w:rPr>
        <w:t>危险</w:t>
      </w:r>
      <w:r>
        <w:rPr>
          <w:rFonts w:hint="eastAsia" w:ascii="创艺简标宋" w:hAnsi="创艺简标宋" w:eastAsia="创艺简标宋" w:cs="创艺简标宋"/>
          <w:b w:val="0"/>
          <w:bCs w:val="0"/>
          <w:sz w:val="36"/>
          <w:szCs w:val="36"/>
        </w:rPr>
        <w:t>废物管理制度（模板)</w:t>
      </w:r>
    </w:p>
    <w:p>
      <w:pPr>
        <w:pStyle w:val="7"/>
        <w:adjustRightInd/>
        <w:spacing w:line="360" w:lineRule="auto"/>
        <w:ind w:firstLine="562" w:firstLineChars="200"/>
        <w:jc w:val="both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一、总则</w:t>
      </w:r>
    </w:p>
    <w:p>
      <w:pPr>
        <w:pStyle w:val="7"/>
        <w:adjustRightInd/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（一）为贯彻执行《中华人民共和国环境保护法》、《中华人民共和国固体废物污染环境防治法》、《危险废物经营许可证管理办法》、《危险废物转移联单管理办法》及有关法律、法规，落实危险废物相关管理规定和标准规范，强化危险废物日常监管，进一步规范公司危险废物产生、收集、贮存、运输、利用和处置等各个环节，全面提高危险废物产生单位管理水平，确保危险废物得到无害化处置，保障环境安全。制定本</w:t>
      </w:r>
      <w:r>
        <w:rPr>
          <w:rFonts w:hint="eastAsia" w:ascii="仿宋_GB2312" w:hAnsi="仿宋_GB2312" w:eastAsia="仿宋_GB2312" w:cs="仿宋_GB2312"/>
          <w:szCs w:val="24"/>
          <w:lang w:eastAsia="zh-CN"/>
        </w:rPr>
        <w:t>管理制度</w:t>
      </w:r>
      <w:r>
        <w:rPr>
          <w:rFonts w:hint="eastAsia" w:ascii="仿宋_GB2312" w:hAnsi="仿宋_GB2312" w:eastAsia="仿宋_GB2312" w:cs="仿宋_GB2312"/>
          <w:szCs w:val="24"/>
        </w:rPr>
        <w:t>。</w:t>
      </w:r>
    </w:p>
    <w:p>
      <w:pPr>
        <w:pStyle w:val="7"/>
        <w:adjustRightInd/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（二）本制度适用于本公司区域内</w:t>
      </w:r>
      <w:r>
        <w:rPr>
          <w:rFonts w:hint="eastAsia" w:ascii="仿宋_GB2312" w:hAnsi="仿宋_GB2312" w:eastAsia="仿宋_GB2312" w:cs="仿宋_GB2312"/>
          <w:szCs w:val="24"/>
          <w:lang w:eastAsia="zh-CN"/>
        </w:rPr>
        <w:t>工业危险废物</w:t>
      </w:r>
      <w:r>
        <w:rPr>
          <w:rFonts w:hint="eastAsia" w:ascii="仿宋_GB2312" w:hAnsi="仿宋_GB2312" w:eastAsia="仿宋_GB2312" w:cs="仿宋_GB2312"/>
          <w:szCs w:val="24"/>
        </w:rPr>
        <w:t>的产生、收集、贮存、转移、利用、处置等活动。</w:t>
      </w:r>
    </w:p>
    <w:p>
      <w:pPr>
        <w:pStyle w:val="7"/>
        <w:adjustRightInd/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（三）本公司对</w:t>
      </w:r>
      <w:r>
        <w:rPr>
          <w:rFonts w:hint="eastAsia" w:ascii="仿宋_GB2312" w:hAnsi="仿宋_GB2312" w:eastAsia="仿宋_GB2312" w:cs="仿宋_GB2312"/>
          <w:szCs w:val="24"/>
          <w:lang w:eastAsia="zh-CN"/>
        </w:rPr>
        <w:t>工业危险废物</w:t>
      </w:r>
      <w:r>
        <w:rPr>
          <w:rFonts w:hint="eastAsia" w:ascii="仿宋_GB2312" w:hAnsi="仿宋_GB2312" w:eastAsia="仿宋_GB2312" w:cs="仿宋_GB2312"/>
          <w:szCs w:val="24"/>
        </w:rPr>
        <w:t>污染环境实行预防为主，全过程管理和污染者承担责任的原则。</w:t>
      </w:r>
    </w:p>
    <w:p>
      <w:pPr>
        <w:pStyle w:val="7"/>
        <w:adjustRightInd/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（四）积极推广清洁生产，避免或者减少</w:t>
      </w:r>
      <w:r>
        <w:rPr>
          <w:rFonts w:hint="eastAsia" w:ascii="仿宋_GB2312" w:hAnsi="仿宋_GB2312" w:eastAsia="仿宋_GB2312" w:cs="仿宋_GB2312"/>
          <w:szCs w:val="24"/>
          <w:lang w:eastAsia="zh-CN"/>
        </w:rPr>
        <w:t>工业危险废物</w:t>
      </w:r>
      <w:r>
        <w:rPr>
          <w:rFonts w:hint="eastAsia" w:ascii="仿宋_GB2312" w:hAnsi="仿宋_GB2312" w:eastAsia="仿宋_GB2312" w:cs="仿宋_GB2312"/>
          <w:szCs w:val="24"/>
        </w:rPr>
        <w:t>的产生;鼓励对</w:t>
      </w:r>
      <w:r>
        <w:rPr>
          <w:rFonts w:hint="eastAsia" w:ascii="仿宋_GB2312" w:hAnsi="仿宋_GB2312" w:eastAsia="仿宋_GB2312" w:cs="仿宋_GB2312"/>
          <w:szCs w:val="24"/>
          <w:lang w:eastAsia="zh-CN"/>
        </w:rPr>
        <w:t>工业危险废物</w:t>
      </w:r>
      <w:r>
        <w:rPr>
          <w:rFonts w:hint="eastAsia" w:ascii="仿宋_GB2312" w:hAnsi="仿宋_GB2312" w:eastAsia="仿宋_GB2312" w:cs="仿宋_GB2312"/>
          <w:szCs w:val="24"/>
        </w:rPr>
        <w:t>的合理利用;实行对</w:t>
      </w:r>
      <w:r>
        <w:rPr>
          <w:rFonts w:hint="eastAsia" w:ascii="仿宋_GB2312" w:hAnsi="仿宋_GB2312" w:eastAsia="仿宋_GB2312" w:cs="仿宋_GB2312"/>
          <w:szCs w:val="24"/>
          <w:lang w:eastAsia="zh-CN"/>
        </w:rPr>
        <w:t>工业危险废物</w:t>
      </w:r>
      <w:r>
        <w:rPr>
          <w:rFonts w:hint="eastAsia" w:ascii="仿宋_GB2312" w:hAnsi="仿宋_GB2312" w:eastAsia="仿宋_GB2312" w:cs="仿宋_GB2312"/>
          <w:szCs w:val="24"/>
        </w:rPr>
        <w:t>的无害化处理。</w:t>
      </w:r>
    </w:p>
    <w:p>
      <w:pPr>
        <w:pStyle w:val="7"/>
        <w:adjustRightInd/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（五）各部门、车间应当加强对</w:t>
      </w:r>
      <w:r>
        <w:rPr>
          <w:rFonts w:hint="eastAsia" w:ascii="仿宋_GB2312" w:hAnsi="仿宋_GB2312" w:eastAsia="仿宋_GB2312" w:cs="仿宋_GB2312"/>
          <w:szCs w:val="24"/>
          <w:lang w:eastAsia="zh-CN"/>
        </w:rPr>
        <w:t>工业危险废物</w:t>
      </w:r>
      <w:r>
        <w:rPr>
          <w:rFonts w:hint="eastAsia" w:ascii="仿宋_GB2312" w:hAnsi="仿宋_GB2312" w:eastAsia="仿宋_GB2312" w:cs="仿宋_GB2312"/>
          <w:szCs w:val="24"/>
        </w:rPr>
        <w:t>污染环境防治工作的领导，在各自的职责范围内负责</w:t>
      </w:r>
      <w:r>
        <w:rPr>
          <w:rFonts w:hint="eastAsia" w:ascii="仿宋_GB2312" w:hAnsi="仿宋_GB2312" w:eastAsia="仿宋_GB2312" w:cs="仿宋_GB2312"/>
          <w:szCs w:val="24"/>
          <w:lang w:eastAsia="zh-CN"/>
        </w:rPr>
        <w:t>工业危险废物</w:t>
      </w:r>
      <w:r>
        <w:rPr>
          <w:rFonts w:hint="eastAsia" w:ascii="仿宋_GB2312" w:hAnsi="仿宋_GB2312" w:eastAsia="仿宋_GB2312" w:cs="仿宋_GB2312"/>
          <w:szCs w:val="24"/>
        </w:rPr>
        <w:t>污染环境防治的监督管理工作。</w:t>
      </w:r>
    </w:p>
    <w:p>
      <w:pPr>
        <w:pStyle w:val="7"/>
        <w:adjustRightInd/>
        <w:spacing w:line="360" w:lineRule="auto"/>
        <w:ind w:firstLine="562" w:firstLineChars="200"/>
        <w:jc w:val="both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二、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工业危险废物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污染防治的管理制度</w:t>
      </w:r>
    </w:p>
    <w:p>
      <w:pPr>
        <w:pStyle w:val="7"/>
        <w:adjustRightInd/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（一）本公司严格控制新建</w:t>
      </w:r>
      <w:r>
        <w:rPr>
          <w:rFonts w:hint="eastAsia" w:ascii="仿宋_GB2312" w:hAnsi="仿宋_GB2312" w:eastAsia="仿宋_GB2312" w:cs="仿宋_GB2312"/>
          <w:szCs w:val="24"/>
          <w:lang w:eastAsia="zh-CN"/>
        </w:rPr>
        <w:t>工业危险废物</w:t>
      </w:r>
      <w:r>
        <w:rPr>
          <w:rFonts w:hint="eastAsia" w:ascii="仿宋_GB2312" w:hAnsi="仿宋_GB2312" w:eastAsia="仿宋_GB2312" w:cs="仿宋_GB2312"/>
          <w:szCs w:val="24"/>
        </w:rPr>
        <w:t>产生量大、危害性大且难以安全处置的建设项目。建设产生、贮存、利用、处置</w:t>
      </w:r>
      <w:r>
        <w:rPr>
          <w:rFonts w:hint="eastAsia" w:ascii="仿宋_GB2312" w:hAnsi="仿宋_GB2312" w:eastAsia="仿宋_GB2312" w:cs="仿宋_GB2312"/>
          <w:szCs w:val="24"/>
          <w:lang w:eastAsia="zh-CN"/>
        </w:rPr>
        <w:t>工业危险废物</w:t>
      </w:r>
      <w:r>
        <w:rPr>
          <w:rFonts w:hint="eastAsia" w:ascii="仿宋_GB2312" w:hAnsi="仿宋_GB2312" w:eastAsia="仿宋_GB2312" w:cs="仿宋_GB2312"/>
          <w:szCs w:val="24"/>
        </w:rPr>
        <w:t>项目的部门、车间必须遵守国家和本市有关建设项目环境保护管理的规定。</w:t>
      </w:r>
    </w:p>
    <w:p>
      <w:pPr>
        <w:pStyle w:val="7"/>
        <w:adjustRightInd/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（二）产生</w:t>
      </w:r>
      <w:r>
        <w:rPr>
          <w:rFonts w:hint="eastAsia" w:ascii="仿宋_GB2312" w:hAnsi="仿宋_GB2312" w:eastAsia="仿宋_GB2312" w:cs="仿宋_GB2312"/>
          <w:szCs w:val="24"/>
          <w:lang w:eastAsia="zh-CN"/>
        </w:rPr>
        <w:t>工业危险废物</w:t>
      </w:r>
      <w:r>
        <w:rPr>
          <w:rFonts w:hint="eastAsia" w:ascii="仿宋_GB2312" w:hAnsi="仿宋_GB2312" w:eastAsia="仿宋_GB2312" w:cs="仿宋_GB2312"/>
          <w:szCs w:val="24"/>
        </w:rPr>
        <w:t>的部门、车间，必须按照规定向物资部申报登记</w:t>
      </w:r>
      <w:r>
        <w:rPr>
          <w:rFonts w:hint="eastAsia" w:ascii="仿宋_GB2312" w:hAnsi="仿宋_GB2312" w:eastAsia="仿宋_GB2312" w:cs="仿宋_GB2312"/>
          <w:szCs w:val="24"/>
          <w:lang w:eastAsia="zh-CN"/>
        </w:rPr>
        <w:t>工业危险废物</w:t>
      </w:r>
      <w:r>
        <w:rPr>
          <w:rFonts w:hint="eastAsia" w:ascii="仿宋_GB2312" w:hAnsi="仿宋_GB2312" w:eastAsia="仿宋_GB2312" w:cs="仿宋_GB2312"/>
          <w:szCs w:val="24"/>
        </w:rPr>
        <w:t>产生的种类、数量、流向、贮存、利用、处置等有关资料。</w:t>
      </w:r>
    </w:p>
    <w:p>
      <w:pPr>
        <w:pStyle w:val="7"/>
        <w:adjustRightInd/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（三）产废部门、车间应当采取调整产品结构或者生产工艺等措施减少</w:t>
      </w:r>
      <w:r>
        <w:rPr>
          <w:rFonts w:hint="eastAsia" w:ascii="仿宋_GB2312" w:hAnsi="仿宋_GB2312" w:eastAsia="仿宋_GB2312" w:cs="仿宋_GB2312"/>
          <w:szCs w:val="24"/>
          <w:lang w:eastAsia="zh-CN"/>
        </w:rPr>
        <w:t>工业危险废物</w:t>
      </w:r>
      <w:r>
        <w:rPr>
          <w:rFonts w:hint="eastAsia" w:ascii="仿宋_GB2312" w:hAnsi="仿宋_GB2312" w:eastAsia="仿宋_GB2312" w:cs="仿宋_GB2312"/>
          <w:szCs w:val="24"/>
        </w:rPr>
        <w:t>产生量。</w:t>
      </w:r>
    </w:p>
    <w:p>
      <w:pPr>
        <w:pStyle w:val="7"/>
        <w:adjustRightInd/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（四）本公司由各部门车间主要负责人成立</w:t>
      </w:r>
      <w:r>
        <w:rPr>
          <w:rFonts w:hint="eastAsia" w:ascii="仿宋_GB2312" w:hAnsi="仿宋_GB2312" w:eastAsia="仿宋_GB2312" w:cs="仿宋_GB2312"/>
          <w:szCs w:val="24"/>
          <w:lang w:eastAsia="zh-CN"/>
        </w:rPr>
        <w:t>工业危险废物</w:t>
      </w:r>
      <w:r>
        <w:rPr>
          <w:rFonts w:hint="eastAsia" w:ascii="仿宋_GB2312" w:hAnsi="仿宋_GB2312" w:eastAsia="仿宋_GB2312" w:cs="仿宋_GB2312"/>
          <w:szCs w:val="24"/>
        </w:rPr>
        <w:t>管理工作领导小组。领导小组及其职能部门有权对产生、收集、贮存、转移、利用、处置</w:t>
      </w:r>
      <w:r>
        <w:rPr>
          <w:rFonts w:hint="eastAsia" w:ascii="仿宋_GB2312" w:hAnsi="仿宋_GB2312" w:eastAsia="仿宋_GB2312" w:cs="仿宋_GB2312"/>
          <w:szCs w:val="24"/>
          <w:lang w:eastAsia="zh-CN"/>
        </w:rPr>
        <w:t>工业危险废物</w:t>
      </w:r>
      <w:r>
        <w:rPr>
          <w:rFonts w:hint="eastAsia" w:ascii="仿宋_GB2312" w:hAnsi="仿宋_GB2312" w:eastAsia="仿宋_GB2312" w:cs="仿宋_GB2312"/>
          <w:szCs w:val="24"/>
        </w:rPr>
        <w:t>的部门、车间进行现场检查，检查其污染防治措施的落实和运行情况。</w:t>
      </w:r>
    </w:p>
    <w:p>
      <w:pPr>
        <w:pStyle w:val="7"/>
        <w:adjustRightInd/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被检查的</w:t>
      </w:r>
      <w:r>
        <w:rPr>
          <w:rFonts w:hint="eastAsia" w:ascii="仿宋_GB2312" w:hAnsi="仿宋_GB2312" w:eastAsia="仿宋_GB2312" w:cs="仿宋_GB2312"/>
          <w:szCs w:val="24"/>
          <w:lang w:eastAsia="zh-CN"/>
        </w:rPr>
        <w:t>部门、车间</w:t>
      </w:r>
      <w:r>
        <w:rPr>
          <w:rFonts w:hint="eastAsia" w:ascii="仿宋_GB2312" w:hAnsi="仿宋_GB2312" w:eastAsia="仿宋_GB2312" w:cs="仿宋_GB2312"/>
          <w:szCs w:val="24"/>
        </w:rPr>
        <w:t>应当如实反映情况，提供必要的资料：</w:t>
      </w:r>
    </w:p>
    <w:p>
      <w:pPr>
        <w:pStyle w:val="7"/>
        <w:adjustRightInd/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1、</w:t>
      </w:r>
      <w:r>
        <w:rPr>
          <w:rFonts w:hint="eastAsia" w:ascii="仿宋_GB2312" w:hAnsi="仿宋_GB2312" w:eastAsia="仿宋_GB2312" w:cs="仿宋_GB2312"/>
          <w:szCs w:val="24"/>
          <w:lang w:eastAsia="zh-CN"/>
        </w:rPr>
        <w:t>工业危险废物</w:t>
      </w:r>
      <w:r>
        <w:rPr>
          <w:rFonts w:hint="eastAsia" w:ascii="仿宋_GB2312" w:hAnsi="仿宋_GB2312" w:eastAsia="仿宋_GB2312" w:cs="仿宋_GB2312"/>
          <w:szCs w:val="24"/>
        </w:rPr>
        <w:t>的产生、收集、贮存、转移、利用、处置情况。</w:t>
      </w:r>
    </w:p>
    <w:p>
      <w:pPr>
        <w:pStyle w:val="7"/>
        <w:adjustRightInd/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2、污染防治设施的运行情况。</w:t>
      </w:r>
    </w:p>
    <w:p>
      <w:pPr>
        <w:pStyle w:val="7"/>
        <w:adjustRightInd/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3、</w:t>
      </w:r>
      <w:r>
        <w:rPr>
          <w:rFonts w:hint="eastAsia" w:ascii="仿宋_GB2312" w:hAnsi="仿宋_GB2312" w:eastAsia="仿宋_GB2312" w:cs="仿宋_GB2312"/>
          <w:szCs w:val="24"/>
          <w:lang w:eastAsia="zh-CN"/>
        </w:rPr>
        <w:t>工业危险废物</w:t>
      </w:r>
      <w:r>
        <w:rPr>
          <w:rFonts w:hint="eastAsia" w:ascii="仿宋_GB2312" w:hAnsi="仿宋_GB2312" w:eastAsia="仿宋_GB2312" w:cs="仿宋_GB2312"/>
          <w:szCs w:val="24"/>
        </w:rPr>
        <w:t>造成的污染及损害情况。</w:t>
      </w:r>
    </w:p>
    <w:p>
      <w:pPr>
        <w:pStyle w:val="7"/>
        <w:adjustRightInd/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4、限期改正或者限期治理执行情况。</w:t>
      </w:r>
    </w:p>
    <w:p>
      <w:pPr>
        <w:pStyle w:val="7"/>
        <w:adjustRightInd/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5、</w:t>
      </w:r>
      <w:r>
        <w:rPr>
          <w:rFonts w:hint="eastAsia" w:ascii="仿宋_GB2312" w:hAnsi="仿宋_GB2312" w:eastAsia="仿宋_GB2312" w:cs="仿宋_GB2312"/>
          <w:szCs w:val="24"/>
          <w:lang w:eastAsia="zh-CN"/>
        </w:rPr>
        <w:t>工业危险废物</w:t>
      </w:r>
      <w:r>
        <w:rPr>
          <w:rFonts w:hint="eastAsia" w:ascii="仿宋_GB2312" w:hAnsi="仿宋_GB2312" w:eastAsia="仿宋_GB2312" w:cs="仿宋_GB2312"/>
          <w:szCs w:val="24"/>
        </w:rPr>
        <w:t>污染环境防治的管理制度。</w:t>
      </w:r>
    </w:p>
    <w:p>
      <w:pPr>
        <w:pStyle w:val="7"/>
        <w:adjustRightInd/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6、其他与</w:t>
      </w:r>
      <w:r>
        <w:rPr>
          <w:rFonts w:hint="eastAsia" w:ascii="仿宋_GB2312" w:hAnsi="仿宋_GB2312" w:eastAsia="仿宋_GB2312" w:cs="仿宋_GB2312"/>
          <w:szCs w:val="24"/>
          <w:lang w:eastAsia="zh-CN"/>
        </w:rPr>
        <w:t>工业危险废物</w:t>
      </w:r>
      <w:r>
        <w:rPr>
          <w:rFonts w:hint="eastAsia" w:ascii="仿宋_GB2312" w:hAnsi="仿宋_GB2312" w:eastAsia="仿宋_GB2312" w:cs="仿宋_GB2312"/>
          <w:szCs w:val="24"/>
        </w:rPr>
        <w:t>污染防治有关的情况和资料。</w:t>
      </w:r>
    </w:p>
    <w:p>
      <w:pPr>
        <w:pStyle w:val="7"/>
        <w:adjustRightInd/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7、污染严重的部门、车间应当按照规定公开其产生</w:t>
      </w:r>
      <w:r>
        <w:rPr>
          <w:rFonts w:hint="eastAsia" w:ascii="仿宋_GB2312" w:hAnsi="仿宋_GB2312" w:eastAsia="仿宋_GB2312" w:cs="仿宋_GB2312"/>
          <w:szCs w:val="24"/>
          <w:lang w:eastAsia="zh-CN"/>
        </w:rPr>
        <w:t>工业危险废物</w:t>
      </w:r>
      <w:r>
        <w:rPr>
          <w:rFonts w:hint="eastAsia" w:ascii="仿宋_GB2312" w:hAnsi="仿宋_GB2312" w:eastAsia="仿宋_GB2312" w:cs="仿宋_GB2312"/>
          <w:szCs w:val="24"/>
        </w:rPr>
        <w:t>的状况以及污染防治措施落实情况，接受监督。</w:t>
      </w:r>
    </w:p>
    <w:p>
      <w:pPr>
        <w:pStyle w:val="7"/>
        <w:adjustRightInd/>
        <w:spacing w:line="360" w:lineRule="auto"/>
        <w:ind w:firstLine="562" w:firstLineChars="200"/>
        <w:jc w:val="both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三、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工业危险废物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污染环境的全过程控制</w:t>
      </w:r>
    </w:p>
    <w:p>
      <w:pPr>
        <w:pStyle w:val="7"/>
        <w:adjustRightInd/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（一）</w:t>
      </w:r>
      <w:r>
        <w:rPr>
          <w:rFonts w:hint="eastAsia" w:ascii="仿宋_GB2312" w:hAnsi="仿宋_GB2312" w:eastAsia="仿宋_GB2312" w:cs="仿宋_GB2312"/>
          <w:szCs w:val="24"/>
          <w:lang w:eastAsia="zh-CN"/>
        </w:rPr>
        <w:t>工业危险废物</w:t>
      </w:r>
      <w:r>
        <w:rPr>
          <w:rFonts w:hint="eastAsia" w:ascii="仿宋_GB2312" w:hAnsi="仿宋_GB2312" w:eastAsia="仿宋_GB2312" w:cs="仿宋_GB2312"/>
          <w:szCs w:val="24"/>
        </w:rPr>
        <w:t>的收集、贮存、转移、利用、处置活动必须遵守国家和本市的有关规定。</w:t>
      </w:r>
    </w:p>
    <w:p>
      <w:pPr>
        <w:pStyle w:val="7"/>
        <w:adjustRightInd/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（二）禁止向环境倾倒、堆置</w:t>
      </w:r>
      <w:r>
        <w:rPr>
          <w:rFonts w:hint="eastAsia" w:ascii="仿宋_GB2312" w:hAnsi="仿宋_GB2312" w:eastAsia="仿宋_GB2312" w:cs="仿宋_GB2312"/>
          <w:szCs w:val="24"/>
          <w:lang w:eastAsia="zh-CN"/>
        </w:rPr>
        <w:t>工业危险废物</w:t>
      </w:r>
      <w:r>
        <w:rPr>
          <w:rFonts w:hint="eastAsia" w:ascii="仿宋_GB2312" w:hAnsi="仿宋_GB2312" w:eastAsia="仿宋_GB2312" w:cs="仿宋_GB2312"/>
          <w:szCs w:val="24"/>
        </w:rPr>
        <w:t>。</w:t>
      </w:r>
    </w:p>
    <w:p>
      <w:pPr>
        <w:pStyle w:val="7"/>
        <w:adjustRightInd/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（三）禁止将</w:t>
      </w:r>
      <w:r>
        <w:rPr>
          <w:rFonts w:hint="eastAsia" w:ascii="仿宋_GB2312" w:hAnsi="仿宋_GB2312" w:eastAsia="仿宋_GB2312" w:cs="仿宋_GB2312"/>
          <w:szCs w:val="24"/>
          <w:lang w:eastAsia="zh-CN"/>
        </w:rPr>
        <w:t>工业危险废物</w:t>
      </w:r>
      <w:r>
        <w:rPr>
          <w:rFonts w:hint="eastAsia" w:ascii="仿宋_GB2312" w:hAnsi="仿宋_GB2312" w:eastAsia="仿宋_GB2312" w:cs="仿宋_GB2312"/>
          <w:szCs w:val="24"/>
        </w:rPr>
        <w:t>混入非</w:t>
      </w:r>
      <w:r>
        <w:rPr>
          <w:rFonts w:hint="eastAsia" w:ascii="仿宋_GB2312" w:hAnsi="仿宋_GB2312" w:eastAsia="仿宋_GB2312" w:cs="仿宋_GB2312"/>
          <w:szCs w:val="24"/>
          <w:lang w:eastAsia="zh-CN"/>
        </w:rPr>
        <w:t>危险废物</w:t>
      </w:r>
      <w:r>
        <w:rPr>
          <w:rFonts w:hint="eastAsia" w:ascii="仿宋_GB2312" w:hAnsi="仿宋_GB2312" w:eastAsia="仿宋_GB2312" w:cs="仿宋_GB2312"/>
          <w:szCs w:val="24"/>
        </w:rPr>
        <w:t>中收集、贮存、转移、处置。</w:t>
      </w:r>
    </w:p>
    <w:p>
      <w:pPr>
        <w:pStyle w:val="7"/>
        <w:adjustRightInd/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（四）</w:t>
      </w:r>
      <w:r>
        <w:rPr>
          <w:rFonts w:hint="eastAsia" w:ascii="仿宋_GB2312" w:hAnsi="仿宋_GB2312" w:eastAsia="仿宋_GB2312" w:cs="仿宋_GB2312"/>
          <w:szCs w:val="24"/>
          <w:lang w:eastAsia="zh-CN"/>
        </w:rPr>
        <w:t>工业危险废物</w:t>
      </w:r>
      <w:r>
        <w:rPr>
          <w:rFonts w:hint="eastAsia" w:ascii="仿宋_GB2312" w:hAnsi="仿宋_GB2312" w:eastAsia="仿宋_GB2312" w:cs="仿宋_GB2312"/>
          <w:szCs w:val="24"/>
        </w:rPr>
        <w:t>的收集、贮存、转移应当使用符合标准的容器和包装物。</w:t>
      </w:r>
    </w:p>
    <w:p>
      <w:pPr>
        <w:pStyle w:val="7"/>
        <w:adjustRightInd/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（五）</w:t>
      </w:r>
      <w:r>
        <w:rPr>
          <w:rFonts w:hint="eastAsia" w:ascii="仿宋_GB2312" w:hAnsi="仿宋_GB2312" w:eastAsia="仿宋_GB2312" w:cs="仿宋_GB2312"/>
          <w:szCs w:val="24"/>
          <w:lang w:eastAsia="zh-CN"/>
        </w:rPr>
        <w:t>工业危险废物</w:t>
      </w:r>
      <w:r>
        <w:rPr>
          <w:rFonts w:hint="eastAsia" w:ascii="仿宋_GB2312" w:hAnsi="仿宋_GB2312" w:eastAsia="仿宋_GB2312" w:cs="仿宋_GB2312"/>
          <w:szCs w:val="24"/>
        </w:rPr>
        <w:t>的容器和包装物以及收集、贮存、转移、处置</w:t>
      </w:r>
      <w:r>
        <w:rPr>
          <w:rFonts w:hint="eastAsia" w:ascii="仿宋_GB2312" w:hAnsi="仿宋_GB2312" w:eastAsia="仿宋_GB2312" w:cs="仿宋_GB2312"/>
          <w:szCs w:val="24"/>
          <w:lang w:eastAsia="zh-CN"/>
        </w:rPr>
        <w:t>工业危险废物</w:t>
      </w:r>
      <w:r>
        <w:rPr>
          <w:rFonts w:hint="eastAsia" w:ascii="仿宋_GB2312" w:hAnsi="仿宋_GB2312" w:eastAsia="仿宋_GB2312" w:cs="仿宋_GB2312"/>
          <w:szCs w:val="24"/>
        </w:rPr>
        <w:t>的设施、场所，必须设置</w:t>
      </w:r>
      <w:r>
        <w:rPr>
          <w:rFonts w:hint="eastAsia" w:ascii="仿宋_GB2312" w:hAnsi="仿宋_GB2312" w:eastAsia="仿宋_GB2312" w:cs="仿宋_GB2312"/>
          <w:szCs w:val="24"/>
          <w:lang w:eastAsia="zh-CN"/>
        </w:rPr>
        <w:t>危险废物</w:t>
      </w:r>
      <w:r>
        <w:rPr>
          <w:rFonts w:hint="eastAsia" w:ascii="仿宋_GB2312" w:hAnsi="仿宋_GB2312" w:eastAsia="仿宋_GB2312" w:cs="仿宋_GB2312"/>
          <w:szCs w:val="24"/>
        </w:rPr>
        <w:t>识别标志。</w:t>
      </w:r>
    </w:p>
    <w:p>
      <w:pPr>
        <w:pStyle w:val="7"/>
        <w:adjustRightInd/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（六）</w:t>
      </w:r>
      <w:r>
        <w:rPr>
          <w:rFonts w:hint="eastAsia" w:ascii="仿宋_GB2312" w:hAnsi="仿宋_GB2312" w:eastAsia="仿宋_GB2312" w:cs="仿宋_GB2312"/>
          <w:szCs w:val="24"/>
          <w:lang w:eastAsia="zh-CN"/>
        </w:rPr>
        <w:t>工业危险废物</w:t>
      </w:r>
      <w:r>
        <w:rPr>
          <w:rFonts w:hint="eastAsia" w:ascii="仿宋_GB2312" w:hAnsi="仿宋_GB2312" w:eastAsia="仿宋_GB2312" w:cs="仿宋_GB2312"/>
          <w:szCs w:val="24"/>
        </w:rPr>
        <w:t>的贮存时间不得超过一年:法律、法规另有规定的除外。</w:t>
      </w:r>
    </w:p>
    <w:p>
      <w:pPr>
        <w:pStyle w:val="7"/>
        <w:adjustRightInd/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（七）产生</w:t>
      </w:r>
      <w:r>
        <w:rPr>
          <w:rFonts w:hint="eastAsia" w:ascii="仿宋_GB2312" w:hAnsi="仿宋_GB2312" w:eastAsia="仿宋_GB2312" w:cs="仿宋_GB2312"/>
          <w:szCs w:val="24"/>
          <w:lang w:eastAsia="zh-CN"/>
        </w:rPr>
        <w:t>工业危险废物</w:t>
      </w:r>
      <w:r>
        <w:rPr>
          <w:rFonts w:hint="eastAsia" w:ascii="仿宋_GB2312" w:hAnsi="仿宋_GB2312" w:eastAsia="仿宋_GB2312" w:cs="仿宋_GB2312"/>
          <w:szCs w:val="24"/>
        </w:rPr>
        <w:t>部门、车间应当按照规定处置:不按照规定处置的，应当进行限期改正﹔限期结束后仍然不按照规定处置，由</w:t>
      </w:r>
      <w:r>
        <w:rPr>
          <w:rFonts w:hint="eastAsia" w:ascii="仿宋_GB2312" w:hAnsi="仿宋_GB2312" w:eastAsia="仿宋_GB2312" w:cs="仿宋_GB2312"/>
          <w:szCs w:val="24"/>
          <w:lang w:eastAsia="zh-CN"/>
        </w:rPr>
        <w:t>工业危险废物</w:t>
      </w:r>
      <w:r>
        <w:rPr>
          <w:rFonts w:hint="eastAsia" w:ascii="仿宋_GB2312" w:hAnsi="仿宋_GB2312" w:eastAsia="仿宋_GB2312" w:cs="仿宋_GB2312"/>
          <w:szCs w:val="24"/>
        </w:rPr>
        <w:t>管理工作领导小组按照公司规定负责处罚。</w:t>
      </w:r>
    </w:p>
    <w:p>
      <w:pPr>
        <w:pStyle w:val="7"/>
        <w:adjustRightInd/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（八）在搬迁、转产、终止之前必须对已经产生尚没有处置的</w:t>
      </w:r>
      <w:r>
        <w:rPr>
          <w:rFonts w:hint="eastAsia" w:ascii="仿宋_GB2312" w:hAnsi="仿宋_GB2312" w:eastAsia="仿宋_GB2312" w:cs="仿宋_GB2312"/>
          <w:szCs w:val="24"/>
          <w:lang w:eastAsia="zh-CN"/>
        </w:rPr>
        <w:t>工业危险废物</w:t>
      </w:r>
      <w:r>
        <w:rPr>
          <w:rFonts w:hint="eastAsia" w:ascii="仿宋_GB2312" w:hAnsi="仿宋_GB2312" w:eastAsia="仿宋_GB2312" w:cs="仿宋_GB2312"/>
          <w:szCs w:val="24"/>
        </w:rPr>
        <w:t>和</w:t>
      </w:r>
      <w:r>
        <w:rPr>
          <w:rFonts w:hint="eastAsia" w:ascii="仿宋_GB2312" w:hAnsi="仿宋_GB2312" w:eastAsia="仿宋_GB2312" w:cs="仿宋_GB2312"/>
          <w:szCs w:val="24"/>
          <w:lang w:eastAsia="zh-CN"/>
        </w:rPr>
        <w:t>工业危险废物</w:t>
      </w:r>
      <w:r>
        <w:rPr>
          <w:rFonts w:hint="eastAsia" w:ascii="仿宋_GB2312" w:hAnsi="仿宋_GB2312" w:eastAsia="仿宋_GB2312" w:cs="仿宋_GB2312"/>
          <w:szCs w:val="24"/>
        </w:rPr>
        <w:t>贮存、处置设施场所按照有关规定进行安全处置﹔对产生的</w:t>
      </w:r>
      <w:r>
        <w:rPr>
          <w:rFonts w:hint="eastAsia" w:ascii="仿宋_GB2312" w:hAnsi="仿宋_GB2312" w:eastAsia="仿宋_GB2312" w:cs="仿宋_GB2312"/>
          <w:szCs w:val="24"/>
          <w:lang w:eastAsia="zh-CN"/>
        </w:rPr>
        <w:t>工业危险废物</w:t>
      </w:r>
      <w:r>
        <w:rPr>
          <w:rFonts w:hint="eastAsia" w:ascii="仿宋_GB2312" w:hAnsi="仿宋_GB2312" w:eastAsia="仿宋_GB2312" w:cs="仿宋_GB2312"/>
          <w:szCs w:val="24"/>
        </w:rPr>
        <w:t>对周围环境的影响进行综合评估并消除可能产生的污染，将评估报告报</w:t>
      </w:r>
      <w:r>
        <w:rPr>
          <w:rFonts w:hint="eastAsia" w:ascii="仿宋_GB2312" w:hAnsi="仿宋_GB2312" w:eastAsia="仿宋_GB2312" w:cs="仿宋_GB2312"/>
          <w:szCs w:val="24"/>
          <w:lang w:eastAsia="zh-CN"/>
        </w:rPr>
        <w:t>工业危险废物</w:t>
      </w:r>
      <w:r>
        <w:rPr>
          <w:rFonts w:hint="eastAsia" w:ascii="仿宋_GB2312" w:hAnsi="仿宋_GB2312" w:eastAsia="仿宋_GB2312" w:cs="仿宋_GB2312"/>
          <w:szCs w:val="24"/>
        </w:rPr>
        <w:t>管理工作领导小组备案。</w:t>
      </w:r>
    </w:p>
    <w:p>
      <w:pPr>
        <w:pStyle w:val="7"/>
        <w:adjustRightInd/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（九）</w:t>
      </w:r>
      <w:r>
        <w:rPr>
          <w:rFonts w:hint="eastAsia" w:ascii="仿宋_GB2312" w:hAnsi="仿宋_GB2312" w:eastAsia="仿宋_GB2312" w:cs="仿宋_GB2312"/>
          <w:szCs w:val="24"/>
          <w:lang w:eastAsia="zh-CN"/>
        </w:rPr>
        <w:t>工业危险废物</w:t>
      </w:r>
      <w:r>
        <w:rPr>
          <w:rFonts w:hint="eastAsia" w:ascii="仿宋_GB2312" w:hAnsi="仿宋_GB2312" w:eastAsia="仿宋_GB2312" w:cs="仿宋_GB2312"/>
          <w:szCs w:val="24"/>
        </w:rPr>
        <w:t>转移要落实转移联制度。</w:t>
      </w:r>
    </w:p>
    <w:p>
      <w:pPr>
        <w:pStyle w:val="7"/>
        <w:adjustRightInd/>
        <w:spacing w:line="360" w:lineRule="auto"/>
        <w:ind w:firstLine="562" w:firstLineChars="200"/>
        <w:jc w:val="both"/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</w:p>
    <w:p>
      <w:pPr>
        <w:pStyle w:val="7"/>
        <w:adjustRightInd/>
        <w:spacing w:line="360" w:lineRule="auto"/>
        <w:ind w:firstLine="562" w:firstLineChars="200"/>
        <w:jc w:val="both"/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</w:p>
    <w:p>
      <w:pPr>
        <w:pStyle w:val="7"/>
        <w:adjustRightInd/>
        <w:spacing w:line="360" w:lineRule="auto"/>
        <w:ind w:firstLine="562" w:firstLineChars="200"/>
        <w:jc w:val="both"/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四、工业危险废物管理工作领导小组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drawing>
          <wp:inline distT="0" distB="0" distL="114300" distR="114300">
            <wp:extent cx="5357495" cy="2241550"/>
            <wp:effectExtent l="0" t="0" r="1460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7495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5"/>
        <w:tblW w:w="109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327"/>
        <w:gridCol w:w="1115"/>
        <w:gridCol w:w="5784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32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11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组织职位</w:t>
            </w:r>
          </w:p>
        </w:tc>
        <w:tc>
          <w:tcPr>
            <w:tcW w:w="5784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工 作 职 责</w:t>
            </w:r>
          </w:p>
        </w:tc>
        <w:tc>
          <w:tcPr>
            <w:tcW w:w="1597" w:type="dxa"/>
            <w:vAlign w:val="center"/>
          </w:tcPr>
          <w:p>
            <w:pPr>
              <w:spacing w:line="460" w:lineRule="exact"/>
              <w:ind w:firstLine="480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  <w:jc w:val="center"/>
        </w:trPr>
        <w:tc>
          <w:tcPr>
            <w:tcW w:w="1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总经理</w:t>
            </w: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组长</w:t>
            </w:r>
          </w:p>
        </w:tc>
        <w:tc>
          <w:tcPr>
            <w:tcW w:w="5784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（1）全面组织贯彻落实国家危险废物管理工作方针、政策、法令和法规。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（2）全面负责环境保护职能机构的建设，指导和监督环境保护部门的工作。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（3）统筹本单位危险废物管理工作，负责制定、组织实施危险废物管理计划和实施方案。</w:t>
            </w:r>
          </w:p>
        </w:tc>
        <w:tc>
          <w:tcPr>
            <w:tcW w:w="15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  <w:jc w:val="center"/>
        </w:trPr>
        <w:tc>
          <w:tcPr>
            <w:tcW w:w="1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技术总监</w:t>
            </w: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副组长</w:t>
            </w:r>
          </w:p>
        </w:tc>
        <w:tc>
          <w:tcPr>
            <w:tcW w:w="5784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（1）协助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组长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推动企业开展危险废物管理工作，贯彻执行国家法规和标准，汇总和审查各项技术措施、计划，并且督促有关部门切实按期执行。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（2）负责危险废物贮存、转移管理及处置（利用）设施技术管理工作。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（3）组织职工进行危险废物知识培训教育，总结推广危险废物管理先进经验。</w:t>
            </w:r>
          </w:p>
        </w:tc>
        <w:tc>
          <w:tcPr>
            <w:tcW w:w="15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兼职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危废管理员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生产部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部长</w:t>
            </w: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bookmarkStart w:id="0" w:name="OLE_LINK1"/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组员</w:t>
            </w:r>
            <w:bookmarkEnd w:id="0"/>
          </w:p>
        </w:tc>
        <w:tc>
          <w:tcPr>
            <w:tcW w:w="5784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（1）负责单位自身危险废物检查及危险废物的产生、贮存、利用、处置建档的资料收集、整理工作，并按规定编制成台帐进行管理。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（2）积极配合环保部门和本单位危险废物管理人员，提供档案查阅、使用、登记服务。</w:t>
            </w:r>
          </w:p>
        </w:tc>
        <w:tc>
          <w:tcPr>
            <w:tcW w:w="15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台帐资料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收集、整理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安全环保部部长</w:t>
            </w: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组员</w:t>
            </w:r>
          </w:p>
        </w:tc>
        <w:tc>
          <w:tcPr>
            <w:tcW w:w="5784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（1）组织进行单位自身危险废物管理检查，并建立检查档案。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（2）组织开展危险废物的日常监测，登记、上报、建档。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（3）定期组织现场检查，对检查中发现的不良情况，有权责令改正，或立即报告领导小组研究处理。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（4）负责危险废物事故报告，参加事故调查处理。</w:t>
            </w:r>
          </w:p>
        </w:tc>
        <w:tc>
          <w:tcPr>
            <w:tcW w:w="15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专职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1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财务部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部长</w:t>
            </w: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组员</w:t>
            </w:r>
          </w:p>
        </w:tc>
        <w:tc>
          <w:tcPr>
            <w:tcW w:w="5784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（1）负责做好每年度危险废物管理所需经费预算，为危险废物管理工作提供财经保障。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（2）配合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其他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危险废物管理人员做好各项危险废物管理工作。</w:t>
            </w:r>
          </w:p>
        </w:tc>
        <w:tc>
          <w:tcPr>
            <w:tcW w:w="15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经费管理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仓库负责人</w:t>
            </w: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小组成员</w:t>
            </w:r>
          </w:p>
        </w:tc>
        <w:tc>
          <w:tcPr>
            <w:tcW w:w="5784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1、负责环保设备、仪器、药品和备件等物资的供应工作，做好有毒有害物料的管理，防止在运输、贮存和发放时逸散泄漏污染环境； 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确保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固体废物（含危废）按国家相关规定进行处置或处理，不得把可能产生二次污染的物料或产品转移给其它企业。</w:t>
            </w:r>
          </w:p>
        </w:tc>
        <w:tc>
          <w:tcPr>
            <w:tcW w:w="15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危废的存储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保卫负责人</w:t>
            </w: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小组成员</w:t>
            </w:r>
          </w:p>
        </w:tc>
        <w:tc>
          <w:tcPr>
            <w:tcW w:w="5784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1、负责危险废弃物车辆进出入管理与登记工作，使其符合环保要求。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2、在事故救援过程中，负责现场保护、车辆管理和人员的疏散工作。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3、严格执行危险废物污染防治责任制、危废管理制度。</w:t>
            </w:r>
          </w:p>
        </w:tc>
        <w:tc>
          <w:tcPr>
            <w:tcW w:w="15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危废运输转移</w:t>
            </w:r>
          </w:p>
        </w:tc>
      </w:tr>
    </w:tbl>
    <w:p>
      <w:pPr>
        <w:spacing w:line="240" w:lineRule="atLeast"/>
        <w:jc w:val="lef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备注：污染防治责任制度组织部门可根据企业情况适当增减，由此工作职责根据实际情况由其他部门兼任。</w:t>
      </w:r>
    </w:p>
    <w:p>
      <w:pPr>
        <w:pStyle w:val="8"/>
        <w:rPr>
          <w:rFonts w:hint="eastAsia" w:ascii="仿宋_GB2312" w:hAnsi="仿宋_GB2312" w:eastAsia="仿宋_GB2312" w:cs="仿宋_GB2312"/>
        </w:rPr>
      </w:pPr>
    </w:p>
    <w:p>
      <w:pPr>
        <w:pStyle w:val="7"/>
        <w:adjustRightInd/>
        <w:spacing w:line="360" w:lineRule="auto"/>
        <w:ind w:firstLine="562" w:firstLineChars="200"/>
        <w:jc w:val="both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五、危险废物产生环节图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8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生产工艺流程及危险废物产生环节图 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8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40" w:firstLineChars="200"/>
        <w:textAlignment w:val="auto"/>
        <w:rPr>
          <w:rFonts w:hint="eastAsia" w:ascii="仿宋_GB2312" w:hAnsi="仿宋_GB2312" w:eastAsia="仿宋_GB2312" w:cs="仿宋_GB2312"/>
          <w:sz w:val="22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18"/>
          <w:lang w:val="en-US" w:eastAsia="zh-CN"/>
        </w:rPr>
        <w:t>（备注：按照环评或排污许可证绘制生产工艺流程图，并标出危险废物产生环节及相应危险废物）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8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8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污染物产生环节的详细说明</w:t>
      </w:r>
    </w:p>
    <w:tbl>
      <w:tblPr>
        <w:tblStyle w:val="5"/>
        <w:tblW w:w="110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1119"/>
        <w:gridCol w:w="1039"/>
        <w:gridCol w:w="1191"/>
        <w:gridCol w:w="720"/>
        <w:gridCol w:w="3601"/>
        <w:gridCol w:w="15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869" w:type="dxa"/>
            <w:noWrap w:val="0"/>
            <w:vAlign w:val="center"/>
          </w:tcPr>
          <w:p>
            <w:pPr>
              <w:pStyle w:val="11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产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环节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pStyle w:val="11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危险废物类别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pStyle w:val="11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危险废物代码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pStyle w:val="11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危险废物名称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11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危害特性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pStyle w:val="11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去 向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pStyle w:val="11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责任人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869" w:type="dxa"/>
            <w:noWrap w:val="0"/>
            <w:vAlign w:val="center"/>
          </w:tcPr>
          <w:p>
            <w:pPr>
              <w:pStyle w:val="11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36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送至公司危险废物仓库，由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yellow"/>
                <w:lang w:val="en-US" w:eastAsia="zh-CN"/>
              </w:rPr>
              <w:t>**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yellow"/>
                <w:lang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集中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管理，并最终交由资质单位转移处理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  <w:tc>
          <w:tcPr>
            <w:tcW w:w="1546" w:type="dxa"/>
            <w:vMerge w:val="restart"/>
            <w:noWrap w:val="0"/>
            <w:vAlign w:val="center"/>
          </w:tcPr>
          <w:p>
            <w:pPr>
              <w:pStyle w:val="11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869" w:type="dxa"/>
            <w:noWrap w:val="0"/>
            <w:vAlign w:val="center"/>
          </w:tcPr>
          <w:p>
            <w:pPr>
              <w:pStyle w:val="11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3601" w:type="dxa"/>
            <w:noWrap w:val="0"/>
            <w:vAlign w:val="center"/>
          </w:tcPr>
          <w:p>
            <w:pPr>
              <w:pStyle w:val="11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送至公司危险废物仓库，由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yellow"/>
                <w:lang w:val="en-US" w:eastAsia="zh-CN"/>
              </w:rPr>
              <w:t>**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yellow"/>
                <w:lang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集中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管理，并最终交由资质单位转移处理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  <w:tc>
          <w:tcPr>
            <w:tcW w:w="1546" w:type="dxa"/>
            <w:vMerge w:val="continue"/>
            <w:noWrap w:val="0"/>
            <w:vAlign w:val="center"/>
          </w:tcPr>
          <w:p>
            <w:pPr>
              <w:pStyle w:val="11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869" w:type="dxa"/>
            <w:noWrap w:val="0"/>
            <w:vAlign w:val="center"/>
          </w:tcPr>
          <w:p>
            <w:pPr>
              <w:pStyle w:val="11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3601" w:type="dxa"/>
            <w:noWrap w:val="0"/>
            <w:vAlign w:val="center"/>
          </w:tcPr>
          <w:p>
            <w:pPr>
              <w:pStyle w:val="11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送至公司危险废物仓库，由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yellow"/>
                <w:lang w:val="en-US" w:eastAsia="zh-CN"/>
              </w:rPr>
              <w:t>**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yellow"/>
                <w:lang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集中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管理，并最终交由资质单位转移处理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  <w:tc>
          <w:tcPr>
            <w:tcW w:w="1546" w:type="dxa"/>
            <w:vMerge w:val="continue"/>
            <w:noWrap w:val="0"/>
            <w:vAlign w:val="center"/>
          </w:tcPr>
          <w:p>
            <w:pPr>
              <w:pStyle w:val="11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  <w:jc w:val="center"/>
        </w:trPr>
        <w:tc>
          <w:tcPr>
            <w:tcW w:w="1869" w:type="dxa"/>
            <w:noWrap w:val="0"/>
            <w:vAlign w:val="center"/>
          </w:tcPr>
          <w:p>
            <w:pPr>
              <w:pStyle w:val="11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……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3601" w:type="dxa"/>
            <w:noWrap w:val="0"/>
            <w:vAlign w:val="center"/>
          </w:tcPr>
          <w:p>
            <w:pPr>
              <w:pStyle w:val="11"/>
              <w:snapToGrid w:val="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pStyle w:val="11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pStyle w:val="8"/>
        <w:widowControl w:val="0"/>
        <w:numPr>
          <w:ilvl w:val="0"/>
          <w:numId w:val="0"/>
        </w:numPr>
        <w:autoSpaceDE w:val="0"/>
        <w:autoSpaceDN w:val="0"/>
        <w:adjustRightInd w:val="0"/>
        <w:rPr>
          <w:rFonts w:hint="eastAsia" w:ascii="仿宋_GB2312" w:hAnsi="仿宋_GB2312" w:eastAsia="仿宋_GB2312" w:cs="仿宋_GB2312"/>
          <w:b/>
          <w:bCs/>
          <w:sz w:val="22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2"/>
          <w:szCs w:val="18"/>
          <w:lang w:val="en-US" w:eastAsia="zh-CN"/>
        </w:rPr>
        <w:t>填写说明：</w:t>
      </w:r>
    </w:p>
    <w:p>
      <w:pPr>
        <w:pStyle w:val="8"/>
        <w:widowControl w:val="0"/>
        <w:numPr>
          <w:ilvl w:val="0"/>
          <w:numId w:val="0"/>
        </w:numPr>
        <w:autoSpaceDE w:val="0"/>
        <w:autoSpaceDN w:val="0"/>
        <w:adjustRightInd w:val="0"/>
        <w:rPr>
          <w:rFonts w:hint="eastAsia" w:ascii="仿宋_GB2312" w:hAnsi="仿宋_GB2312" w:eastAsia="仿宋_GB2312" w:cs="仿宋_GB2312"/>
          <w:b w:val="0"/>
          <w:bCs w:val="0"/>
          <w:sz w:val="22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2"/>
          <w:szCs w:val="18"/>
          <w:lang w:val="en-US" w:eastAsia="zh-CN"/>
        </w:rPr>
        <w:t>1.产废环节：具体描述产生该种危险废物的工艺环节。</w:t>
      </w:r>
    </w:p>
    <w:p>
      <w:pPr>
        <w:pStyle w:val="8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hint="eastAsia" w:ascii="仿宋_GB2312" w:hAnsi="仿宋_GB2312" w:eastAsia="仿宋_GB2312" w:cs="仿宋_GB2312"/>
          <w:b w:val="0"/>
          <w:bCs w:val="0"/>
          <w:sz w:val="22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2"/>
          <w:szCs w:val="18"/>
          <w:lang w:val="en-US" w:eastAsia="zh-CN"/>
        </w:rPr>
        <w:t>危险废物类别：根据《国家危险废物名录（2021年版）》填写具体的危险废物类别。</w:t>
      </w:r>
    </w:p>
    <w:p>
      <w:pPr>
        <w:pStyle w:val="8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hint="eastAsia" w:ascii="仿宋_GB2312" w:hAnsi="仿宋_GB2312" w:eastAsia="仿宋_GB2312" w:cs="仿宋_GB2312"/>
          <w:b w:val="0"/>
          <w:bCs w:val="0"/>
          <w:sz w:val="22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2"/>
          <w:szCs w:val="18"/>
          <w:lang w:val="en-US" w:eastAsia="zh-CN"/>
        </w:rPr>
        <w:t>危险废物代码：根据《国家危险废物名录（2021年版）》填写具体的危险废物代码。</w:t>
      </w:r>
    </w:p>
    <w:p>
      <w:pPr>
        <w:pStyle w:val="8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hint="eastAsia" w:ascii="仿宋_GB2312" w:hAnsi="仿宋_GB2312" w:eastAsia="仿宋_GB2312" w:cs="仿宋_GB2312"/>
          <w:b w:val="0"/>
          <w:bCs w:val="0"/>
          <w:sz w:val="22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2"/>
          <w:szCs w:val="18"/>
          <w:lang w:val="en-US" w:eastAsia="zh-CN"/>
        </w:rPr>
        <w:t>危害特性：根据《国家危险废物名录（2021年版）》填写危险废物种类相应的危险特性。</w:t>
      </w:r>
    </w:p>
    <w:p>
      <w:pPr>
        <w:pStyle w:val="8"/>
        <w:widowControl w:val="0"/>
        <w:numPr>
          <w:ilvl w:val="0"/>
          <w:numId w:val="0"/>
        </w:numPr>
        <w:tabs>
          <w:tab w:val="left" w:pos="312"/>
        </w:tabs>
        <w:autoSpaceDE w:val="0"/>
        <w:autoSpaceDN w:val="0"/>
        <w:adjustRightInd w:val="0"/>
        <w:rPr>
          <w:rFonts w:hint="eastAsia" w:ascii="仿宋_GB2312" w:hAnsi="仿宋_GB2312" w:eastAsia="仿宋_GB2312" w:cs="仿宋_GB2312"/>
          <w:b/>
          <w:bCs/>
          <w:sz w:val="22"/>
          <w:szCs w:val="18"/>
          <w:lang w:val="en-US" w:eastAsia="zh-CN"/>
        </w:rPr>
      </w:pPr>
    </w:p>
    <w:p>
      <w:pPr>
        <w:pStyle w:val="7"/>
        <w:adjustRightInd/>
        <w:spacing w:line="360" w:lineRule="auto"/>
        <w:jc w:val="both"/>
        <w:rPr>
          <w:rFonts w:hint="eastAsia" w:ascii="仿宋_GB2312" w:hAnsi="仿宋_GB2312" w:eastAsia="仿宋_GB2312" w:cs="仿宋_GB2312"/>
          <w:b/>
          <w:bCs/>
          <w:sz w:val="22"/>
          <w:szCs w:val="22"/>
        </w:rPr>
      </w:pPr>
    </w:p>
    <w:p>
      <w:pPr>
        <w:pStyle w:val="7"/>
        <w:adjustRightInd/>
        <w:spacing w:line="360" w:lineRule="auto"/>
        <w:jc w:val="both"/>
        <w:rPr>
          <w:rFonts w:hint="eastAsia" w:ascii="仿宋_GB2312" w:hAnsi="仿宋_GB2312" w:eastAsia="仿宋_GB2312" w:cs="仿宋_GB2312"/>
          <w:b/>
          <w:bCs/>
          <w:sz w:val="22"/>
          <w:szCs w:val="22"/>
        </w:rPr>
      </w:pPr>
    </w:p>
    <w:p>
      <w:pPr>
        <w:pStyle w:val="7"/>
        <w:adjustRightInd/>
        <w:spacing w:line="360" w:lineRule="auto"/>
        <w:jc w:val="both"/>
        <w:rPr>
          <w:rFonts w:hint="eastAsia" w:ascii="仿宋_GB2312" w:hAnsi="仿宋_GB2312" w:eastAsia="仿宋_GB2312" w:cs="仿宋_GB2312"/>
          <w:b/>
          <w:bCs/>
          <w:sz w:val="2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2"/>
          <w:szCs w:val="2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2"/>
          <w:szCs w:val="22"/>
        </w:rPr>
        <w:t>备注：本模板仅供参考，企业需根据自身实际情况制定</w:t>
      </w:r>
      <w:r>
        <w:rPr>
          <w:rFonts w:hint="eastAsia" w:ascii="仿宋_GB2312" w:hAnsi="仿宋_GB2312" w:eastAsia="仿宋_GB2312" w:cs="仿宋_GB2312"/>
          <w:b/>
          <w:bCs/>
          <w:sz w:val="22"/>
          <w:szCs w:val="22"/>
          <w:lang w:eastAsia="zh-CN"/>
        </w:rPr>
        <w:t>工业危险废物</w:t>
      </w:r>
      <w:r>
        <w:rPr>
          <w:rFonts w:hint="eastAsia" w:ascii="仿宋_GB2312" w:hAnsi="仿宋_GB2312" w:eastAsia="仿宋_GB2312" w:cs="仿宋_GB2312"/>
          <w:b/>
          <w:bCs/>
          <w:sz w:val="22"/>
          <w:szCs w:val="22"/>
        </w:rPr>
        <w:t>管理制度。</w:t>
      </w:r>
      <w:r>
        <w:rPr>
          <w:rFonts w:hint="eastAsia" w:ascii="仿宋_GB2312" w:hAnsi="仿宋_GB2312" w:eastAsia="仿宋_GB2312" w:cs="仿宋_GB2312"/>
          <w:b/>
          <w:bCs/>
          <w:sz w:val="22"/>
          <w:szCs w:val="22"/>
          <w:lang w:eastAsia="zh-CN"/>
        </w:rPr>
        <w:t>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48949725"/>
    </w:sdtPr>
    <w:sdtEndPr>
      <w:rPr>
        <w:rFonts w:ascii="Times New Roman" w:hAnsi="Times New Roman" w:cs="Times New Roman"/>
      </w:rPr>
    </w:sdtEndPr>
    <w:sdtContent>
      <w:p>
        <w:pPr>
          <w:pStyle w:val="3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8A315F"/>
    <w:multiLevelType w:val="singleLevel"/>
    <w:tmpl w:val="198A315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0B89ECC"/>
    <w:multiLevelType w:val="multilevel"/>
    <w:tmpl w:val="50B89ECC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2"/>
      <w:lvlText w:val="%1.%2"/>
      <w:lvlJc w:val="left"/>
      <w:pPr>
        <w:ind w:left="575" w:hanging="575"/>
      </w:pPr>
      <w:rPr>
        <w:rFonts w:hint="default" w:ascii="Times New Roman" w:hAnsi="Times New Roman" w:eastAsia="宋体" w:cs="宋体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2">
    <w:nsid w:val="5FFDF2BD"/>
    <w:multiLevelType w:val="singleLevel"/>
    <w:tmpl w:val="5FFDF2B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35469"/>
    <w:rsid w:val="2C1412AC"/>
    <w:rsid w:val="4A69389D"/>
    <w:rsid w:val="6094313D"/>
    <w:rsid w:val="63A35469"/>
    <w:rsid w:val="6842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line="360" w:lineRule="auto"/>
      <w:outlineLvl w:val="1"/>
    </w:pPr>
    <w:rPr>
      <w:rFonts w:ascii="Times New Roman" w:hAnsi="Times New Roman" w:eastAsia="仿宋"/>
      <w:b/>
      <w:bCs/>
      <w:kern w:val="0"/>
      <w:sz w:val="30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7">
    <w:name w:val="CM8"/>
    <w:next w:val="8"/>
    <w:unhideWhenUsed/>
    <w:qFormat/>
    <w:uiPriority w:val="99"/>
    <w:pPr>
      <w:widowControl w:val="0"/>
      <w:autoSpaceDE w:val="0"/>
      <w:autoSpaceDN w:val="0"/>
      <w:adjustRightInd w:val="0"/>
      <w:spacing w:line="600" w:lineRule="atLeast"/>
    </w:pPr>
    <w:rPr>
      <w:rFonts w:ascii="华文中宋" w:hAnsi="华文中宋" w:eastAsia="华文中宋" w:cs="Times New Roman"/>
      <w:color w:val="000000"/>
      <w:sz w:val="24"/>
      <w:lang w:val="en-US" w:eastAsia="zh-CN" w:bidi="ar-SA"/>
    </w:rPr>
  </w:style>
  <w:style w:type="paragraph" w:customStyle="1" w:styleId="8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华文中宋" w:hAnsi="华文中宋" w:eastAsia="华文中宋" w:cs="Times New Roman"/>
      <w:color w:val="000000"/>
      <w:sz w:val="24"/>
      <w:lang w:val="en-US" w:eastAsia="zh-CN" w:bidi="ar-SA"/>
    </w:rPr>
  </w:style>
  <w:style w:type="paragraph" w:customStyle="1" w:styleId="9">
    <w:name w:val="Table Paragraph"/>
    <w:basedOn w:val="1"/>
    <w:qFormat/>
    <w:uiPriority w:val="1"/>
    <w:pPr>
      <w:jc w:val="left"/>
    </w:pPr>
    <w:rPr>
      <w:rFonts w:asciiTheme="minorHAnsi" w:hAnsiTheme="minorHAnsi" w:eastAsiaTheme="minorEastAsia" w:cstheme="minorBidi"/>
      <w:kern w:val="0"/>
      <w:sz w:val="22"/>
      <w:lang w:eastAsia="en-US"/>
    </w:rPr>
  </w:style>
  <w:style w:type="table" w:customStyle="1" w:styleId="10">
    <w:name w:val="Table Normal"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正文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正文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2023-01-06T08:50:00Z</dcterms:created>
  <dc:creator>袁素芬</dc:creator>
  <cp:lastModifiedBy>袁素芬</cp:lastModifiedBy>
  <dcterms:modified xsi:type="dcterms:W3CDTF">2023-01-29T03:41:56Z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A546DD9DF8E445ACBCEE6A19B051ACCB</vt:lpwstr>
  </property>
</Properties>
</file>