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bidi w:val="0"/>
        <w:spacing w:before="637" w:beforeLines="100" w:after="637" w:afterLines="100" w:line="240" w:lineRule="auto"/>
        <w:rPr>
          <w:rFonts w:hint="eastAsia" w:ascii="方正小标宋简体" w:hAnsi="方正小标宋简体" w:eastAsia="方正小标宋简体" w:cs="方正小标宋简体"/>
          <w:highlight w:val="none"/>
          <w:lang w:val="en-US" w:eastAsia="zh-CN"/>
        </w:rPr>
      </w:pPr>
      <w:r>
        <w:rPr>
          <w:rFonts w:hint="eastAsia" w:ascii="方正小标宋简体" w:hAnsi="方正小标宋简体" w:eastAsia="方正小标宋简体" w:cs="方正小标宋简体"/>
          <w:highlight w:val="none"/>
          <w:lang w:val="en-US" w:eastAsia="zh-CN"/>
        </w:rPr>
        <w:t>中山市一般工业固体废物电子转移联单运行办法</w:t>
      </w:r>
    </w:p>
    <w:p>
      <w:pPr>
        <w:pStyle w:val="18"/>
        <w:bidi w:val="0"/>
        <w:spacing w:before="637" w:beforeLines="100" w:after="637" w:afterLines="100" w:line="240" w:lineRule="auto"/>
        <w:rPr>
          <w:rFonts w:hint="eastAsia" w:ascii="方正小标宋简体" w:hAnsi="方正小标宋简体" w:eastAsia="方正小标宋简体" w:cs="方正小标宋简体"/>
          <w:highlight w:val="none"/>
          <w:lang w:val="en-US" w:eastAsia="zh-CN"/>
        </w:rPr>
      </w:pPr>
      <w:r>
        <w:rPr>
          <w:rFonts w:hint="eastAsia" w:ascii="方正小标宋简体" w:hAnsi="方正小标宋简体" w:cs="方正小标宋简体"/>
          <w:highlight w:val="none"/>
          <w:lang w:val="en-US" w:eastAsia="zh-CN"/>
        </w:rPr>
        <w:t>（征求意见稿）</w:t>
      </w: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r>
        <w:rPr>
          <w:rFonts w:hint="eastAsia"/>
          <w:b/>
          <w:bCs/>
          <w:highlight w:val="none"/>
          <w:lang w:val="en-US" w:eastAsia="zh-CN"/>
        </w:rPr>
        <w:t>第一条【目的和依据】</w:t>
      </w:r>
      <w:r>
        <w:rPr>
          <w:rFonts w:hint="eastAsia"/>
          <w:highlight w:val="none"/>
          <w:lang w:val="en-US" w:eastAsia="zh-CN"/>
        </w:rPr>
        <w:t xml:space="preserve"> 为加强对一般工业固体废物转移活动的监督管理，推进一般工业固体废物转移全过程监控和信息化追溯，压实相关单</w:t>
      </w:r>
      <w:r>
        <w:rPr>
          <w:rFonts w:hint="eastAsia"/>
          <w:color w:val="auto"/>
          <w:highlight w:val="none"/>
          <w:lang w:val="en-US" w:eastAsia="zh-CN"/>
        </w:rPr>
        <w:t>位主体责任，防范一般工业固体废物环境风险，根据《中山市工业固体废物污染环境防治条例》等有关法律法规，结合本市实际，制定本办法。</w:t>
      </w:r>
    </w:p>
    <w:p>
      <w:pPr>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b/>
          <w:bCs/>
          <w:highlight w:val="none"/>
          <w:lang w:val="en-US" w:eastAsia="zh-CN"/>
        </w:rPr>
        <w:t xml:space="preserve">第二条【适用范围】 </w:t>
      </w:r>
      <w:r>
        <w:rPr>
          <w:rFonts w:hint="eastAsia"/>
          <w:highlight w:val="none"/>
          <w:lang w:val="en-US" w:eastAsia="zh-CN"/>
        </w:rPr>
        <w:t>本办法适用于本市行政区域内一般工业固体废物转移联单的管理工作。</w:t>
      </w:r>
    </w:p>
    <w:p>
      <w:pPr>
        <w:keepNext w:val="0"/>
        <w:keepLines w:val="0"/>
        <w:pageBreakBefore w:val="0"/>
        <w:widowControl w:val="0"/>
        <w:kinsoku/>
        <w:wordWrap/>
        <w:overflowPunct/>
        <w:topLinePunct w:val="0"/>
        <w:autoSpaceDE/>
        <w:autoSpaceDN/>
        <w:bidi w:val="0"/>
        <w:adjustRightInd/>
        <w:snapToGrid/>
        <w:textAlignment w:val="auto"/>
        <w:rPr>
          <w:rFonts w:hint="eastAsia"/>
          <w:color w:val="000000" w:themeColor="text1"/>
          <w:highlight w:val="none"/>
          <w:lang w:val="en-US" w:eastAsia="zh-CN"/>
          <w14:textFill>
            <w14:solidFill>
              <w14:schemeClr w14:val="tx1"/>
            </w14:solidFill>
          </w14:textFill>
        </w:rPr>
      </w:pPr>
      <w:r>
        <w:rPr>
          <w:rFonts w:hint="eastAsia"/>
          <w:b/>
          <w:bCs/>
          <w:highlight w:val="none"/>
          <w:lang w:val="en-US" w:eastAsia="zh-CN"/>
        </w:rPr>
        <w:t>第三条【信息化管理】</w:t>
      </w:r>
      <w:r>
        <w:rPr>
          <w:rFonts w:hint="eastAsia"/>
          <w:highlight w:val="none"/>
          <w:lang w:val="en-US" w:eastAsia="zh-CN"/>
        </w:rPr>
        <w:t>转移一般工业固体废物的相关单位应当按照本办法要求依托市固体废物信息管理平台（以下简称“管理平台”）运行电子转移联单。</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highlight w:val="none"/>
          <w:lang w:val="en-US" w:eastAsia="zh-CN"/>
        </w:rPr>
      </w:pPr>
      <w:r>
        <w:rPr>
          <w:rFonts w:hint="eastAsia"/>
          <w:b/>
          <w:bCs/>
          <w:highlight w:val="none"/>
          <w:lang w:val="en-US" w:eastAsia="zh-CN"/>
        </w:rPr>
        <w:t>第四条【平台注册】</w:t>
      </w:r>
      <w:r>
        <w:rPr>
          <w:rFonts w:hint="eastAsia"/>
          <w:highlight w:val="none"/>
          <w:lang w:val="en-US" w:eastAsia="zh-CN"/>
        </w:rPr>
        <w:t>中山市内产生、收集、贮存、运输、利用、处置一般工业固体废物的单位应在管理平台进行注册。</w:t>
      </w:r>
    </w:p>
    <w:p>
      <w:pPr>
        <w:keepNext w:val="0"/>
        <w:keepLines w:val="0"/>
        <w:pageBreakBefore w:val="0"/>
        <w:widowControl w:val="0"/>
        <w:kinsoku/>
        <w:wordWrap/>
        <w:overflowPunct/>
        <w:topLinePunct w:val="0"/>
        <w:autoSpaceDE/>
        <w:autoSpaceDN/>
        <w:bidi w:val="0"/>
        <w:adjustRightInd/>
        <w:snapToGrid/>
        <w:textAlignment w:val="auto"/>
        <w:rPr>
          <w:rFonts w:hint="eastAsia"/>
          <w:b/>
          <w:bCs/>
          <w:highlight w:val="none"/>
          <w:lang w:val="en-US" w:eastAsia="zh-CN"/>
        </w:rPr>
      </w:pPr>
      <w:r>
        <w:rPr>
          <w:rFonts w:hint="eastAsia"/>
          <w:b/>
          <w:bCs/>
          <w:highlight w:val="none"/>
          <w:lang w:val="en-US" w:eastAsia="zh-CN"/>
        </w:rPr>
        <w:t>第五条</w:t>
      </w:r>
      <w:r>
        <w:rPr>
          <w:rFonts w:hint="eastAsia" w:ascii="仿宋_GB2312" w:hAnsi="仿宋_GB2312" w:cs="仿宋_GB2312"/>
          <w:b/>
          <w:bCs w:val="0"/>
          <w:highlight w:val="none"/>
          <w:lang w:val="en-US" w:eastAsia="zh-CN"/>
        </w:rPr>
        <w:t>【监督管理】</w:t>
      </w:r>
      <w:r>
        <w:rPr>
          <w:rFonts w:hint="eastAsia" w:ascii="仿宋_GB2312" w:hAnsi="仿宋_GB2312" w:cs="仿宋_GB2312"/>
          <w:b w:val="0"/>
          <w:bCs/>
          <w:highlight w:val="none"/>
          <w:lang w:val="en-US" w:eastAsia="zh-CN"/>
        </w:rPr>
        <w:t>市</w:t>
      </w:r>
      <w:r>
        <w:rPr>
          <w:rFonts w:hint="eastAsia"/>
          <w:highlight w:val="none"/>
          <w:lang w:val="en-US" w:eastAsia="zh-CN"/>
        </w:rPr>
        <w:t>生态环境主管部门负责统筹一般工业固体废物转移联单管理工作及管理平台建设运行维护。管委会、镇人民政府、街道办事处生态环境工作机构负责本辖区一般工业固体废物转移联单管理工作，督促指导相关单位规范运行电子转移联单。</w:t>
      </w:r>
    </w:p>
    <w:p>
      <w:pPr>
        <w:keepNext w:val="0"/>
        <w:keepLines w:val="0"/>
        <w:pageBreakBefore w:val="0"/>
        <w:widowControl w:val="0"/>
        <w:kinsoku/>
        <w:wordWrap/>
        <w:overflowPunct/>
        <w:topLinePunct w:val="0"/>
        <w:autoSpaceDE/>
        <w:autoSpaceDN/>
        <w:bidi w:val="0"/>
        <w:adjustRightInd/>
        <w:snapToGrid/>
        <w:textAlignment w:val="auto"/>
        <w:rPr>
          <w:rFonts w:hint="default"/>
          <w:b/>
          <w:bCs/>
          <w:highlight w:val="none"/>
          <w:lang w:val="en-US" w:eastAsia="zh-CN"/>
        </w:rPr>
      </w:pPr>
      <w:r>
        <w:rPr>
          <w:rFonts w:hint="eastAsia"/>
          <w:b/>
          <w:bCs/>
          <w:highlight w:val="none"/>
          <w:lang w:val="en-US" w:eastAsia="zh-CN"/>
        </w:rPr>
        <w:t>第六条【联单发起】</w:t>
      </w:r>
      <w:r>
        <w:rPr>
          <w:rFonts w:hint="eastAsia"/>
          <w:b w:val="0"/>
          <w:bCs w:val="0"/>
          <w:highlight w:val="none"/>
          <w:lang w:val="en-US" w:eastAsia="zh-CN"/>
        </w:rPr>
        <w:t>移出人在转移一般工业固体废物时，应通过管理平台发起一般工业固体废物电子转移联单（以下统一简称“转移联单”），如实填写移出人、承运人、接收人信息，转移一般工业固体废物的种类、重量（数量）等信息。</w:t>
      </w:r>
    </w:p>
    <w:p>
      <w:pPr>
        <w:keepNext w:val="0"/>
        <w:keepLines w:val="0"/>
        <w:pageBreakBefore w:val="0"/>
        <w:widowControl w:val="0"/>
        <w:kinsoku/>
        <w:wordWrap/>
        <w:overflowPunct/>
        <w:topLinePunct w:val="0"/>
        <w:autoSpaceDE/>
        <w:autoSpaceDN/>
        <w:bidi w:val="0"/>
        <w:adjustRightInd/>
        <w:snapToGrid/>
        <w:textAlignment w:val="auto"/>
        <w:rPr>
          <w:rFonts w:hint="eastAsia"/>
          <w:b/>
          <w:bCs/>
          <w:highlight w:val="none"/>
          <w:lang w:val="en-US" w:eastAsia="zh-CN"/>
        </w:rPr>
      </w:pPr>
      <w:r>
        <w:rPr>
          <w:rFonts w:hint="eastAsia"/>
          <w:b w:val="0"/>
          <w:bCs w:val="0"/>
          <w:highlight w:val="none"/>
          <w:lang w:val="en-US" w:eastAsia="zh-CN"/>
        </w:rPr>
        <w:t>移出</w:t>
      </w:r>
      <w:r>
        <w:rPr>
          <w:rFonts w:hint="eastAsia"/>
          <w:color w:val="000000" w:themeColor="text1"/>
          <w:highlight w:val="none"/>
          <w:lang w:val="en-US" w:eastAsia="zh-CN"/>
          <w14:textFill>
            <w14:solidFill>
              <w14:schemeClr w14:val="tx1"/>
            </w14:solidFill>
          </w14:textFill>
        </w:rPr>
        <w:t>人</w:t>
      </w:r>
      <w:r>
        <w:rPr>
          <w:rFonts w:hint="eastAsia"/>
          <w:b w:val="0"/>
          <w:bCs w:val="0"/>
          <w:highlight w:val="none"/>
          <w:lang w:val="en-US" w:eastAsia="zh-CN"/>
        </w:rPr>
        <w:t>每转移一车（船或者其他运输工具，下同）次同类一般工业固体废物，应当填写、运行一份转移联单；每车次转移多类一般工业固体废物的，可每一类填写、运行一份转移联单，也可合并填写、运行一份转移联单，合并一份转移联单的应清晰列明废物种类、重量（数量）等信息。</w:t>
      </w:r>
    </w:p>
    <w:p>
      <w:pPr>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多个移出人使用同一车次转移一般工业固体废物的，每个移出人应当独立填写、运行转移联单。</w:t>
      </w:r>
    </w:p>
    <w:p>
      <w:pPr>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b/>
          <w:bCs/>
          <w:highlight w:val="none"/>
          <w:lang w:val="en-US" w:eastAsia="zh-CN"/>
        </w:rPr>
        <w:t>第七条【承运管理】</w:t>
      </w:r>
      <w:r>
        <w:rPr>
          <w:rFonts w:hint="eastAsia"/>
          <w:highlight w:val="none"/>
          <w:lang w:val="en-US" w:eastAsia="zh-CN"/>
        </w:rPr>
        <w:t>承运人在运输前应当核实一般工业固体废物转移联单，无转移联单的，应当拒绝运输。</w:t>
      </w:r>
    </w:p>
    <w:p>
      <w:pPr>
        <w:keepNext w:val="0"/>
        <w:keepLines w:val="0"/>
        <w:pageBreakBefore w:val="0"/>
        <w:widowControl w:val="0"/>
        <w:kinsoku/>
        <w:wordWrap/>
        <w:overflowPunct/>
        <w:topLinePunct w:val="0"/>
        <w:autoSpaceDE/>
        <w:autoSpaceDN/>
        <w:bidi w:val="0"/>
        <w:adjustRightInd/>
        <w:snapToGrid/>
        <w:textAlignment w:val="auto"/>
        <w:rPr>
          <w:rFonts w:hint="eastAsia"/>
          <w:highlight w:val="none"/>
          <w:lang w:val="en-US" w:eastAsia="zh-CN"/>
        </w:rPr>
      </w:pPr>
      <w:r>
        <w:rPr>
          <w:rFonts w:hint="eastAsia"/>
          <w:highlight w:val="none"/>
          <w:lang w:val="en-US" w:eastAsia="zh-CN"/>
        </w:rPr>
        <w:t>采用联运方式转移一般工业固体废物的，前一承运人和后一承运人应当明确运输交接的时间和地点。后一承运人应当通过管理平台核实一般工业固体废物转移联单确定的移出人信息、前一承运人信息及一般工业固体废物相关信息。</w:t>
      </w:r>
    </w:p>
    <w:p>
      <w:pPr>
        <w:keepNext w:val="0"/>
        <w:keepLines w:val="0"/>
        <w:pageBreakBefore w:val="0"/>
        <w:widowControl w:val="0"/>
        <w:kinsoku/>
        <w:wordWrap/>
        <w:overflowPunct/>
        <w:topLinePunct w:val="0"/>
        <w:autoSpaceDE/>
        <w:autoSpaceDN/>
        <w:bidi w:val="0"/>
        <w:adjustRightInd/>
        <w:snapToGrid/>
        <w:textAlignment w:val="auto"/>
        <w:rPr>
          <w:rFonts w:hint="default"/>
          <w:color w:val="0000FF"/>
          <w:highlight w:val="none"/>
          <w:u w:val="single"/>
          <w:lang w:val="en-US" w:eastAsia="zh-CN"/>
        </w:rPr>
      </w:pPr>
      <w:r>
        <w:rPr>
          <w:rFonts w:hint="default"/>
          <w:highlight w:val="none"/>
          <w:u w:val="none"/>
          <w:lang w:val="en-US" w:eastAsia="zh-CN"/>
        </w:rPr>
        <w:t>运输</w:t>
      </w:r>
      <w:r>
        <w:rPr>
          <w:rFonts w:hint="eastAsia"/>
          <w:highlight w:val="none"/>
          <w:u w:val="none"/>
          <w:lang w:val="en-US" w:eastAsia="zh-CN"/>
        </w:rPr>
        <w:t>一般</w:t>
      </w:r>
      <w:r>
        <w:rPr>
          <w:rFonts w:hint="default"/>
          <w:highlight w:val="none"/>
          <w:u w:val="none"/>
          <w:lang w:val="en-US" w:eastAsia="zh-CN"/>
        </w:rPr>
        <w:t>工业固体废物，应当采取防扬散、防流失</w:t>
      </w:r>
      <w:r>
        <w:rPr>
          <w:rFonts w:hint="eastAsia"/>
          <w:highlight w:val="none"/>
          <w:u w:val="none"/>
          <w:lang w:val="en-US" w:eastAsia="zh-CN"/>
        </w:rPr>
        <w:t>、防渗漏</w:t>
      </w:r>
      <w:r>
        <w:rPr>
          <w:rFonts w:hint="default"/>
          <w:highlight w:val="none"/>
          <w:u w:val="none"/>
          <w:lang w:val="en-US" w:eastAsia="zh-CN"/>
        </w:rPr>
        <w:t>等措施防止污染环境。运输</w:t>
      </w:r>
      <w:r>
        <w:rPr>
          <w:rFonts w:hint="eastAsia"/>
          <w:highlight w:val="none"/>
          <w:u w:val="none"/>
          <w:lang w:val="en-US" w:eastAsia="zh-CN"/>
        </w:rPr>
        <w:t>一般</w:t>
      </w:r>
      <w:r>
        <w:rPr>
          <w:rFonts w:hint="default"/>
          <w:highlight w:val="none"/>
          <w:u w:val="none"/>
          <w:lang w:val="en-US" w:eastAsia="zh-CN"/>
        </w:rPr>
        <w:t>工业</w:t>
      </w:r>
      <w:r>
        <w:rPr>
          <w:rFonts w:hint="eastAsia"/>
          <w:highlight w:val="none"/>
          <w:u w:val="none"/>
          <w:lang w:val="en-US" w:eastAsia="zh-CN"/>
        </w:rPr>
        <w:t>污泥</w:t>
      </w:r>
      <w:r>
        <w:rPr>
          <w:rFonts w:hint="default"/>
          <w:highlight w:val="none"/>
          <w:u w:val="none"/>
          <w:lang w:val="en-US" w:eastAsia="zh-CN"/>
        </w:rPr>
        <w:t>的车辆应当安装卫星定位设备</w:t>
      </w:r>
      <w:r>
        <w:rPr>
          <w:rFonts w:hint="eastAsia"/>
          <w:highlight w:val="none"/>
          <w:u w:val="none"/>
          <w:lang w:val="en-US" w:eastAsia="zh-CN"/>
        </w:rPr>
        <w:t>，并</w:t>
      </w:r>
      <w:r>
        <w:rPr>
          <w:rFonts w:hint="default"/>
          <w:highlight w:val="none"/>
          <w:u w:val="none"/>
          <w:lang w:val="en-US" w:eastAsia="zh-CN"/>
        </w:rPr>
        <w:t>将</w:t>
      </w:r>
      <w:r>
        <w:rPr>
          <w:rFonts w:hint="eastAsia"/>
          <w:highlight w:val="none"/>
          <w:u w:val="none"/>
          <w:lang w:val="en-US" w:eastAsia="zh-CN"/>
        </w:rPr>
        <w:t>运输轨迹</w:t>
      </w:r>
      <w:r>
        <w:rPr>
          <w:rFonts w:hint="default"/>
          <w:highlight w:val="none"/>
          <w:u w:val="none"/>
          <w:lang w:val="en-US" w:eastAsia="zh-CN"/>
        </w:rPr>
        <w:t>实时数据传输至市固体废物信息管理平台。</w:t>
      </w:r>
    </w:p>
    <w:p>
      <w:pPr>
        <w:pStyle w:val="3"/>
        <w:keepNext w:val="0"/>
        <w:keepLines w:val="0"/>
        <w:pageBreakBefore w:val="0"/>
        <w:widowControl w:val="0"/>
        <w:numPr>
          <w:ilvl w:val="1"/>
          <w:numId w:val="0"/>
        </w:numPr>
        <w:kinsoku/>
        <w:wordWrap/>
        <w:overflowPunct/>
        <w:topLinePunct w:val="0"/>
        <w:autoSpaceDE/>
        <w:autoSpaceDN/>
        <w:bidi w:val="0"/>
        <w:adjustRightInd/>
        <w:snapToGrid/>
        <w:ind w:leftChars="0" w:firstLine="643" w:firstLineChars="200"/>
        <w:textAlignment w:val="auto"/>
        <w:rPr>
          <w:rFonts w:hint="eastAsia"/>
          <w:b w:val="0"/>
          <w:bCs/>
          <w:highlight w:val="none"/>
          <w:lang w:val="en-US" w:eastAsia="zh-CN"/>
        </w:rPr>
      </w:pPr>
      <w:r>
        <w:rPr>
          <w:rFonts w:hint="eastAsia" w:ascii="Times New Roman" w:hAnsi="Times New Roman" w:eastAsia="仿宋_GB2312" w:cstheme="minorBidi"/>
          <w:b/>
          <w:bCs/>
          <w:kern w:val="2"/>
          <w:sz w:val="32"/>
          <w:szCs w:val="24"/>
          <w:highlight w:val="none"/>
          <w:lang w:val="en-US" w:eastAsia="zh-CN" w:bidi="ar-SA"/>
        </w:rPr>
        <w:t>第</w:t>
      </w:r>
      <w:r>
        <w:rPr>
          <w:rFonts w:hint="eastAsia" w:eastAsia="仿宋_GB2312" w:cstheme="minorBidi"/>
          <w:b/>
          <w:bCs/>
          <w:kern w:val="2"/>
          <w:sz w:val="32"/>
          <w:szCs w:val="24"/>
          <w:highlight w:val="none"/>
          <w:lang w:val="en-US" w:eastAsia="zh-CN" w:bidi="ar-SA"/>
        </w:rPr>
        <w:t>八</w:t>
      </w:r>
      <w:r>
        <w:rPr>
          <w:rFonts w:hint="eastAsia" w:ascii="Times New Roman" w:hAnsi="Times New Roman" w:eastAsia="仿宋_GB2312" w:cstheme="minorBidi"/>
          <w:b/>
          <w:bCs/>
          <w:kern w:val="2"/>
          <w:sz w:val="32"/>
          <w:szCs w:val="24"/>
          <w:highlight w:val="none"/>
          <w:lang w:val="en-US" w:eastAsia="zh-CN" w:bidi="ar-SA"/>
        </w:rPr>
        <w:t>条</w:t>
      </w:r>
      <w:r>
        <w:rPr>
          <w:rFonts w:hint="eastAsia" w:ascii="Times New Roman" w:hAnsi="Times New Roman" w:eastAsia="仿宋_GB2312" w:cstheme="minorBidi"/>
          <w:b/>
          <w:bCs/>
          <w:kern w:val="2"/>
          <w:sz w:val="32"/>
          <w:szCs w:val="24"/>
          <w:highlight w:val="none"/>
          <w:lang w:val="en-US" w:eastAsia="zh-CN" w:bidi="ar-SA"/>
        </w:rPr>
        <w:t>【</w:t>
      </w:r>
      <w:r>
        <w:rPr>
          <w:rFonts w:hint="eastAsia" w:eastAsia="仿宋_GB2312" w:cstheme="minorBidi"/>
          <w:b/>
          <w:bCs/>
          <w:kern w:val="2"/>
          <w:sz w:val="32"/>
          <w:szCs w:val="24"/>
          <w:highlight w:val="none"/>
          <w:lang w:val="en-US" w:eastAsia="zh-CN" w:bidi="ar-SA"/>
        </w:rPr>
        <w:t>接收</w:t>
      </w:r>
      <w:r>
        <w:rPr>
          <w:rFonts w:hint="eastAsia" w:ascii="Times New Roman" w:hAnsi="Times New Roman" w:eastAsia="仿宋_GB2312" w:cstheme="minorBidi"/>
          <w:b/>
          <w:bCs/>
          <w:kern w:val="2"/>
          <w:sz w:val="32"/>
          <w:szCs w:val="24"/>
          <w:highlight w:val="none"/>
          <w:lang w:val="en-US" w:eastAsia="zh-CN" w:bidi="ar-SA"/>
        </w:rPr>
        <w:t>管理】</w:t>
      </w:r>
      <w:r>
        <w:rPr>
          <w:rFonts w:hint="eastAsia" w:ascii="仿宋_GB2312" w:hAnsi="仿宋_GB2312" w:eastAsia="仿宋_GB2312" w:cs="仿宋_GB2312"/>
          <w:b w:val="0"/>
          <w:bCs/>
          <w:kern w:val="2"/>
          <w:sz w:val="32"/>
          <w:szCs w:val="24"/>
          <w:highlight w:val="none"/>
          <w:lang w:val="en-US" w:eastAsia="zh-CN" w:bidi="ar-SA"/>
        </w:rPr>
        <w:t>接收人应当对照</w:t>
      </w:r>
      <w:r>
        <w:rPr>
          <w:rFonts w:hint="default" w:ascii="仿宋_GB2312" w:hAnsi="仿宋_GB2312" w:eastAsia="仿宋_GB2312" w:cs="仿宋_GB2312"/>
          <w:b w:val="0"/>
          <w:bCs/>
          <w:kern w:val="2"/>
          <w:sz w:val="32"/>
          <w:szCs w:val="24"/>
          <w:highlight w:val="none"/>
          <w:lang w:val="en-US" w:eastAsia="zh-CN" w:bidi="ar-SA"/>
        </w:rPr>
        <w:t>转移联单填写内容</w:t>
      </w:r>
      <w:r>
        <w:rPr>
          <w:rFonts w:hint="eastAsia" w:ascii="仿宋_GB2312" w:hAnsi="仿宋_GB2312" w:eastAsia="仿宋_GB2312" w:cs="仿宋_GB2312"/>
          <w:b w:val="0"/>
          <w:bCs/>
          <w:kern w:val="2"/>
          <w:sz w:val="32"/>
          <w:szCs w:val="24"/>
          <w:highlight w:val="none"/>
          <w:lang w:val="en-US" w:eastAsia="zh-CN" w:bidi="ar-SA"/>
        </w:rPr>
        <w:t>核实</w:t>
      </w:r>
      <w:r>
        <w:rPr>
          <w:rFonts w:hint="default" w:ascii="仿宋_GB2312" w:hAnsi="仿宋_GB2312" w:eastAsia="仿宋_GB2312" w:cs="仿宋_GB2312"/>
          <w:b w:val="0"/>
          <w:bCs/>
          <w:kern w:val="2"/>
          <w:sz w:val="32"/>
          <w:szCs w:val="24"/>
          <w:highlight w:val="none"/>
          <w:lang w:val="en-US" w:eastAsia="zh-CN" w:bidi="ar-SA"/>
        </w:rPr>
        <w:t>运抵的一般工业固体废物</w:t>
      </w:r>
      <w:r>
        <w:rPr>
          <w:rFonts w:hint="eastAsia" w:ascii="仿宋_GB2312" w:hAnsi="仿宋_GB2312" w:eastAsia="仿宋_GB2312" w:cs="仿宋_GB2312"/>
          <w:b w:val="0"/>
          <w:bCs/>
          <w:kern w:val="2"/>
          <w:sz w:val="32"/>
          <w:szCs w:val="24"/>
          <w:highlight w:val="none"/>
          <w:lang w:val="en-US" w:eastAsia="zh-CN" w:bidi="ar-SA"/>
        </w:rPr>
        <w:t>，核实无误的，在接收之日起</w:t>
      </w:r>
      <w:r>
        <w:rPr>
          <w:rFonts w:hint="eastAsia" w:ascii="仿宋_GB2312" w:hAnsi="仿宋_GB2312" w:eastAsia="仿宋_GB2312" w:cs="仿宋_GB2312"/>
          <w:b/>
          <w:bCs w:val="0"/>
          <w:kern w:val="2"/>
          <w:sz w:val="32"/>
          <w:szCs w:val="24"/>
          <w:highlight w:val="none"/>
          <w:lang w:val="en-US" w:eastAsia="zh-CN" w:bidi="ar-SA"/>
        </w:rPr>
        <w:t>三</w:t>
      </w:r>
      <w:r>
        <w:rPr>
          <w:rFonts w:hint="eastAsia" w:ascii="仿宋_GB2312" w:hAnsi="仿宋_GB2312" w:eastAsia="仿宋_GB2312" w:cs="仿宋_GB2312"/>
          <w:b w:val="0"/>
          <w:bCs/>
          <w:kern w:val="2"/>
          <w:sz w:val="32"/>
          <w:szCs w:val="24"/>
          <w:highlight w:val="none"/>
          <w:lang w:val="en-US" w:eastAsia="zh-CN" w:bidi="ar-SA"/>
        </w:rPr>
        <w:t>个工作日内通过管理平台确认接收。核实发现运抵一般工业固体废物的名称、重量（数量）、形态与转移联单填写内容存在较大差异的，接收人应当拒绝接收，并及时告知移出人。</w:t>
      </w:r>
    </w:p>
    <w:p>
      <w:pPr>
        <w:pStyle w:val="3"/>
        <w:keepNext w:val="0"/>
        <w:keepLines w:val="0"/>
        <w:pageBreakBefore w:val="0"/>
        <w:widowControl w:val="0"/>
        <w:numPr>
          <w:ilvl w:val="1"/>
          <w:numId w:val="0"/>
        </w:numPr>
        <w:kinsoku/>
        <w:wordWrap/>
        <w:overflowPunct/>
        <w:topLinePunct w:val="0"/>
        <w:autoSpaceDE/>
        <w:autoSpaceDN/>
        <w:bidi w:val="0"/>
        <w:adjustRightInd/>
        <w:snapToGrid/>
        <w:ind w:leftChars="0" w:firstLine="643" w:firstLineChars="200"/>
        <w:textAlignment w:val="auto"/>
        <w:rPr>
          <w:rFonts w:hint="eastAsia" w:ascii="仿宋_GB2312" w:hAnsi="仿宋_GB2312" w:eastAsia="仿宋_GB2312" w:cs="仿宋_GB2312"/>
          <w:b w:val="0"/>
          <w:bCs/>
          <w:kern w:val="2"/>
          <w:sz w:val="32"/>
          <w:szCs w:val="24"/>
          <w:highlight w:val="none"/>
          <w:lang w:val="en-US" w:eastAsia="zh-CN" w:bidi="ar-SA"/>
        </w:rPr>
      </w:pPr>
      <w:r>
        <w:rPr>
          <w:rFonts w:hint="eastAsia" w:ascii="Times New Roman" w:hAnsi="Times New Roman" w:eastAsia="仿宋_GB2312" w:cstheme="minorBidi"/>
          <w:b/>
          <w:bCs/>
          <w:kern w:val="2"/>
          <w:sz w:val="32"/>
          <w:szCs w:val="24"/>
          <w:highlight w:val="none"/>
          <w:lang w:val="en-US" w:eastAsia="zh-CN" w:bidi="ar-SA"/>
        </w:rPr>
        <w:t>第</w:t>
      </w:r>
      <w:r>
        <w:rPr>
          <w:rFonts w:hint="eastAsia" w:eastAsia="仿宋_GB2312" w:cstheme="minorBidi"/>
          <w:b/>
          <w:bCs/>
          <w:kern w:val="2"/>
          <w:sz w:val="32"/>
          <w:szCs w:val="24"/>
          <w:highlight w:val="none"/>
          <w:lang w:val="en-US" w:eastAsia="zh-CN" w:bidi="ar-SA"/>
        </w:rPr>
        <w:t>九</w:t>
      </w:r>
      <w:r>
        <w:rPr>
          <w:rFonts w:hint="eastAsia" w:ascii="Times New Roman" w:hAnsi="Times New Roman" w:eastAsia="仿宋_GB2312" w:cstheme="minorBidi"/>
          <w:b/>
          <w:bCs/>
          <w:kern w:val="2"/>
          <w:sz w:val="32"/>
          <w:szCs w:val="24"/>
          <w:highlight w:val="none"/>
          <w:lang w:val="en-US" w:eastAsia="zh-CN" w:bidi="ar-SA"/>
        </w:rPr>
        <w:t>条【</w:t>
      </w:r>
      <w:r>
        <w:rPr>
          <w:rFonts w:hint="eastAsia" w:eastAsia="仿宋_GB2312"/>
          <w:b/>
          <w:bCs/>
          <w:highlight w:val="none"/>
        </w:rPr>
        <w:t>园</w:t>
      </w:r>
      <w:r>
        <w:rPr>
          <w:rFonts w:hint="eastAsia" w:eastAsia="仿宋_GB2312"/>
          <w:b/>
          <w:bCs/>
          <w:highlight w:val="none"/>
          <w:lang w:val="en-US" w:eastAsia="zh-CN"/>
        </w:rPr>
        <w:t>区联单运行</w:t>
      </w:r>
      <w:r>
        <w:rPr>
          <w:rFonts w:hint="eastAsia" w:ascii="Times New Roman" w:hAnsi="Times New Roman" w:eastAsia="仿宋_GB2312" w:cstheme="minorBidi"/>
          <w:b/>
          <w:bCs/>
          <w:kern w:val="2"/>
          <w:sz w:val="32"/>
          <w:szCs w:val="24"/>
          <w:highlight w:val="none"/>
          <w:lang w:val="en-US" w:eastAsia="zh-CN" w:bidi="ar-SA"/>
        </w:rPr>
        <w:t>】</w:t>
      </w:r>
      <w:r>
        <w:rPr>
          <w:rFonts w:hint="eastAsia" w:eastAsia="仿宋_GB2312"/>
          <w:b w:val="0"/>
          <w:bCs w:val="0"/>
          <w:highlight w:val="none"/>
          <w:lang w:val="en-US" w:eastAsia="zh-CN"/>
        </w:rPr>
        <w:t>环保共性产业园核心区</w:t>
      </w:r>
      <w:r>
        <w:rPr>
          <w:rFonts w:hint="eastAsia" w:eastAsia="仿宋_GB2312"/>
          <w:b w:val="0"/>
          <w:bCs w:val="0"/>
          <w:highlight w:val="none"/>
        </w:rPr>
        <w:t>产废单位企业产生的一般工业固体废物</w:t>
      </w:r>
      <w:r>
        <w:rPr>
          <w:rFonts w:hint="eastAsia" w:eastAsia="仿宋_GB2312"/>
          <w:b w:val="0"/>
          <w:bCs w:val="0"/>
          <w:highlight w:val="none"/>
          <w:lang w:val="en-US" w:eastAsia="zh-CN"/>
        </w:rPr>
        <w:t>转移至环保共性产业园集中收集点的</w:t>
      </w:r>
      <w:r>
        <w:rPr>
          <w:rFonts w:hint="eastAsia" w:eastAsia="仿宋_GB2312"/>
          <w:b w:val="0"/>
          <w:bCs w:val="0"/>
          <w:highlight w:val="none"/>
        </w:rPr>
        <w:t>，</w:t>
      </w:r>
      <w:r>
        <w:rPr>
          <w:rFonts w:hint="eastAsia" w:eastAsia="仿宋_GB2312"/>
          <w:b w:val="0"/>
          <w:bCs w:val="0"/>
          <w:highlight w:val="none"/>
          <w:lang w:val="en-US" w:eastAsia="zh-CN"/>
        </w:rPr>
        <w:t>可豁免</w:t>
      </w:r>
      <w:r>
        <w:rPr>
          <w:rFonts w:hint="eastAsia" w:eastAsia="仿宋_GB2312"/>
          <w:b w:val="0"/>
          <w:bCs w:val="0"/>
          <w:highlight w:val="none"/>
        </w:rPr>
        <w:t>运行</w:t>
      </w:r>
      <w:r>
        <w:rPr>
          <w:rFonts w:hint="eastAsia" w:eastAsia="仿宋_GB2312"/>
          <w:b w:val="0"/>
          <w:bCs w:val="0"/>
          <w:highlight w:val="none"/>
          <w:lang w:val="en-US" w:eastAsia="zh-CN"/>
        </w:rPr>
        <w:t>一般</w:t>
      </w:r>
      <w:r>
        <w:rPr>
          <w:rFonts w:hint="eastAsia" w:eastAsia="仿宋_GB2312"/>
          <w:b w:val="0"/>
          <w:bCs w:val="0"/>
          <w:highlight w:val="none"/>
        </w:rPr>
        <w:t>工业固体废物电子转移联单</w:t>
      </w:r>
      <w:r>
        <w:rPr>
          <w:rFonts w:hint="eastAsia" w:eastAsia="仿宋_GB2312"/>
          <w:b w:val="0"/>
          <w:bCs w:val="0"/>
          <w:highlight w:val="none"/>
          <w:lang w:eastAsia="zh-CN"/>
        </w:rPr>
        <w:t>，在交接一般工业固体废物时，</w:t>
      </w:r>
      <w:r>
        <w:rPr>
          <w:rFonts w:hint="eastAsia" w:ascii="仿宋_GB2312" w:hAnsi="仿宋_GB2312" w:eastAsia="仿宋_GB2312" w:cs="仿宋_GB2312"/>
          <w:b w:val="0"/>
          <w:bCs/>
          <w:kern w:val="2"/>
          <w:sz w:val="32"/>
          <w:szCs w:val="24"/>
          <w:highlight w:val="none"/>
          <w:lang w:val="en-US" w:eastAsia="zh-CN" w:bidi="ar-SA"/>
        </w:rPr>
        <w:t>应当</w:t>
      </w:r>
      <w:r>
        <w:rPr>
          <w:rFonts w:hint="eastAsia" w:eastAsia="仿宋_GB2312"/>
          <w:b w:val="0"/>
          <w:bCs w:val="0"/>
          <w:highlight w:val="none"/>
          <w:lang w:eastAsia="zh-CN"/>
        </w:rPr>
        <w:t>使用</w:t>
      </w:r>
      <w:r>
        <w:rPr>
          <w:rFonts w:hint="eastAsia" w:eastAsia="仿宋_GB2312"/>
          <w:b w:val="0"/>
          <w:highlight w:val="none"/>
        </w:rPr>
        <w:t>管理平台</w:t>
      </w:r>
      <w:r>
        <w:rPr>
          <w:rFonts w:hint="eastAsia" w:eastAsia="仿宋_GB2312"/>
          <w:b w:val="0"/>
          <w:highlight w:val="none"/>
          <w:lang w:eastAsia="zh-CN"/>
        </w:rPr>
        <w:t>填报</w:t>
      </w:r>
      <w:r>
        <w:rPr>
          <w:rFonts w:hint="eastAsia" w:eastAsia="仿宋_GB2312"/>
          <w:b w:val="0"/>
          <w:bCs w:val="0"/>
          <w:highlight w:val="none"/>
          <w:lang w:val="en-US" w:eastAsia="zh-CN"/>
        </w:rPr>
        <w:t>一般工业固体废物的来源、种类、重量（数量）等信息，</w:t>
      </w:r>
      <w:r>
        <w:rPr>
          <w:rFonts w:hint="eastAsia" w:eastAsia="仿宋_GB2312"/>
          <w:b w:val="0"/>
          <w:bCs w:val="0"/>
          <w:highlight w:val="none"/>
          <w:lang w:eastAsia="zh-CN"/>
        </w:rPr>
        <w:t>形成电子交接台账。</w:t>
      </w:r>
      <w:r>
        <w:rPr>
          <w:rFonts w:hint="eastAsia" w:eastAsia="仿宋_GB2312"/>
          <w:b w:val="0"/>
          <w:bCs w:val="0"/>
          <w:highlight w:val="none"/>
          <w:lang w:val="en-US" w:eastAsia="zh-CN"/>
        </w:rPr>
        <w:t>环保共性产业园集中收集点再次转移时须运行一般工业固体废物电子转移联单</w:t>
      </w:r>
      <w:r>
        <w:rPr>
          <w:rFonts w:hint="eastAsia" w:ascii="仿宋_GB2312" w:hAnsi="仿宋_GB2312" w:eastAsia="仿宋_GB2312" w:cs="仿宋_GB2312"/>
          <w:b w:val="0"/>
          <w:bCs/>
          <w:kern w:val="2"/>
          <w:sz w:val="32"/>
          <w:szCs w:val="24"/>
          <w:highlight w:val="none"/>
          <w:lang w:val="en-US" w:eastAsia="zh-CN" w:bidi="ar-SA"/>
        </w:rPr>
        <w:t>。</w:t>
      </w:r>
    </w:p>
    <w:p>
      <w:pPr>
        <w:pStyle w:val="3"/>
        <w:keepNext w:val="0"/>
        <w:keepLines w:val="0"/>
        <w:pageBreakBefore w:val="0"/>
        <w:widowControl w:val="0"/>
        <w:numPr>
          <w:ilvl w:val="1"/>
          <w:numId w:val="0"/>
        </w:numPr>
        <w:kinsoku/>
        <w:wordWrap/>
        <w:overflowPunct/>
        <w:topLinePunct w:val="0"/>
        <w:autoSpaceDE/>
        <w:autoSpaceDN/>
        <w:bidi w:val="0"/>
        <w:adjustRightInd/>
        <w:snapToGrid/>
        <w:ind w:leftChars="0" w:firstLine="643" w:firstLineChars="200"/>
        <w:textAlignment w:val="auto"/>
        <w:rPr>
          <w:rFonts w:hint="eastAsia" w:ascii="仿宋_GB2312" w:hAnsi="仿宋_GB2312" w:eastAsia="仿宋_GB2312" w:cs="仿宋_GB2312"/>
          <w:b w:val="0"/>
          <w:bCs/>
          <w:kern w:val="2"/>
          <w:sz w:val="32"/>
          <w:szCs w:val="24"/>
          <w:highlight w:val="none"/>
          <w:lang w:val="en-US" w:eastAsia="zh-CN" w:bidi="ar-SA"/>
        </w:rPr>
      </w:pPr>
      <w:r>
        <w:rPr>
          <w:rFonts w:hint="eastAsia" w:ascii="仿宋_GB2312" w:hAnsi="仿宋_GB2312" w:cs="仿宋_GB2312"/>
          <w:b/>
          <w:bCs w:val="0"/>
          <w:highlight w:val="none"/>
          <w:lang w:val="en-US" w:eastAsia="zh-CN"/>
        </w:rPr>
        <w:t>第十条</w:t>
      </w:r>
      <w:r>
        <w:rPr>
          <w:rFonts w:hint="eastAsia" w:ascii="仿宋_GB2312" w:hAnsi="仿宋_GB2312" w:eastAsia="仿宋_GB2312" w:cs="仿宋_GB2312"/>
          <w:b w:val="0"/>
          <w:bCs/>
          <w:kern w:val="2"/>
          <w:sz w:val="32"/>
          <w:szCs w:val="24"/>
          <w:highlight w:val="none"/>
          <w:lang w:val="en-US" w:eastAsia="zh-CN" w:bidi="ar-SA"/>
        </w:rPr>
        <w:t>【</w:t>
      </w:r>
      <w:r>
        <w:rPr>
          <w:rFonts w:hint="eastAsia" w:ascii="仿宋_GB2312" w:hAnsi="仿宋_GB2312" w:eastAsia="楷体_GB2312" w:cs="仿宋_GB2312"/>
          <w:b/>
          <w:bCs w:val="0"/>
          <w:kern w:val="2"/>
          <w:sz w:val="32"/>
          <w:szCs w:val="24"/>
          <w:highlight w:val="none"/>
          <w:lang w:val="en-US" w:eastAsia="zh-CN" w:bidi="ar-SA"/>
        </w:rPr>
        <w:t>大宗联单运行</w:t>
      </w:r>
      <w:r>
        <w:rPr>
          <w:rFonts w:hint="eastAsia" w:ascii="仿宋_GB2312" w:hAnsi="仿宋_GB2312" w:eastAsia="仿宋_GB2312" w:cs="仿宋_GB2312"/>
          <w:b w:val="0"/>
          <w:bCs/>
          <w:kern w:val="2"/>
          <w:sz w:val="32"/>
          <w:szCs w:val="24"/>
          <w:highlight w:val="none"/>
          <w:lang w:val="en-US" w:eastAsia="zh-CN" w:bidi="ar-SA"/>
        </w:rPr>
        <w:t>】</w:t>
      </w:r>
      <w:r>
        <w:rPr>
          <w:rFonts w:hint="eastAsia" w:ascii="仿宋_GB2312" w:hAnsi="仿宋_GB2312" w:eastAsia="仿宋_GB2312" w:cs="仿宋_GB2312"/>
          <w:b w:val="0"/>
          <w:bCs/>
          <w:kern w:val="2"/>
          <w:sz w:val="32"/>
          <w:szCs w:val="24"/>
          <w:highlight w:val="none"/>
          <w:lang w:val="en-US" w:eastAsia="zh-CN" w:bidi="ar-SA"/>
        </w:rPr>
        <w:t>单类工业固体废物（工业污泥除外）平均每日转移5批次及以上的移出人，可通过管理平台按日填写、运行工业固体废物电子转移联单。</w:t>
      </w:r>
    </w:p>
    <w:p>
      <w:pPr>
        <w:pStyle w:val="3"/>
        <w:numPr>
          <w:ilvl w:val="1"/>
          <w:numId w:val="0"/>
        </w:numPr>
        <w:ind w:firstLine="643"/>
        <w:rPr>
          <w:rFonts w:hint="eastAsia" w:ascii="Times New Roman" w:hAnsi="Times New Roman"/>
          <w:highlight w:val="none"/>
          <w:lang w:val="en-US" w:eastAsia="zh-CN"/>
        </w:rPr>
      </w:pPr>
      <w:r>
        <w:rPr>
          <w:rFonts w:hint="eastAsia" w:ascii="仿宋_GB2312" w:hAnsi="仿宋_GB2312" w:cs="仿宋_GB2312"/>
          <w:b/>
          <w:bCs w:val="0"/>
          <w:highlight w:val="none"/>
          <w:lang w:val="en-US" w:eastAsia="zh-CN"/>
        </w:rPr>
        <w:t>第十一条【联单补录】</w:t>
      </w:r>
      <w:r>
        <w:rPr>
          <w:rFonts w:hint="eastAsia" w:ascii="仿宋_GB2312" w:hAnsi="仿宋_GB2312" w:eastAsia="仿宋_GB2312" w:cs="仿宋_GB2312"/>
          <w:b w:val="0"/>
          <w:bCs/>
          <w:highlight w:val="none"/>
          <w:lang w:val="en-US" w:eastAsia="zh-CN"/>
        </w:rPr>
        <w:t>因特殊原因无法通过管理平台填写、运行电子转移联单的，可以先使用纸质转移联单，并于转移活动完成后十个工作日内在市固体废物信息管理平台补录电子转移联单。</w:t>
      </w:r>
    </w:p>
    <w:p>
      <w:pPr>
        <w:pStyle w:val="3"/>
        <w:keepNext w:val="0"/>
        <w:keepLines w:val="0"/>
        <w:pageBreakBefore w:val="0"/>
        <w:widowControl w:val="0"/>
        <w:numPr>
          <w:ilvl w:val="1"/>
          <w:numId w:val="0"/>
        </w:numPr>
        <w:kinsoku/>
        <w:wordWrap/>
        <w:overflowPunct/>
        <w:topLinePunct w:val="0"/>
        <w:autoSpaceDE/>
        <w:autoSpaceDN/>
        <w:bidi w:val="0"/>
        <w:adjustRightInd/>
        <w:snapToGrid/>
        <w:ind w:leftChars="200"/>
        <w:textAlignment w:val="auto"/>
        <w:rPr>
          <w:rFonts w:hint="default"/>
          <w:highlight w:val="none"/>
          <w:lang w:val="en-US" w:eastAsia="zh-CN"/>
        </w:rPr>
      </w:pPr>
      <w:r>
        <w:rPr>
          <w:rFonts w:hint="eastAsia" w:ascii="仿宋_GB2312" w:hAnsi="仿宋_GB2312" w:cs="仿宋_GB2312"/>
          <w:b/>
          <w:bCs w:val="0"/>
          <w:highlight w:val="none"/>
          <w:lang w:val="en-US" w:eastAsia="zh-CN"/>
        </w:rPr>
        <w:t>第十</w:t>
      </w:r>
      <w:r>
        <w:rPr>
          <w:rFonts w:hint="eastAsia" w:ascii="仿宋_GB2312" w:hAnsi="仿宋_GB2312" w:cs="仿宋_GB2312"/>
          <w:b/>
          <w:bCs w:val="0"/>
          <w:highlight w:val="none"/>
          <w:lang w:val="en-US" w:eastAsia="zh-CN"/>
        </w:rPr>
        <w:t>二</w:t>
      </w:r>
      <w:r>
        <w:rPr>
          <w:rFonts w:hint="eastAsia" w:ascii="仿宋_GB2312" w:hAnsi="仿宋_GB2312" w:cs="仿宋_GB2312"/>
          <w:b/>
          <w:bCs w:val="0"/>
          <w:highlight w:val="none"/>
          <w:lang w:val="en-US" w:eastAsia="zh-CN"/>
        </w:rPr>
        <w:t>条</w:t>
      </w:r>
      <w:r>
        <w:rPr>
          <w:rFonts w:hint="eastAsia" w:ascii="仿宋_GB2312" w:hAnsi="仿宋_GB2312" w:eastAsia="仿宋_GB2312" w:cs="仿宋_GB2312"/>
          <w:b/>
          <w:bCs w:val="0"/>
          <w:kern w:val="2"/>
          <w:sz w:val="32"/>
          <w:szCs w:val="24"/>
          <w:highlight w:val="none"/>
          <w:lang w:val="en-US" w:eastAsia="zh-CN" w:bidi="ar-SA"/>
        </w:rPr>
        <w:t>【名词解释】</w:t>
      </w:r>
      <w:r>
        <w:rPr>
          <w:rFonts w:hint="eastAsia" w:ascii="Times New Roman" w:hAnsi="Times New Roman" w:eastAsia="仿宋_GB2312" w:cstheme="minorBidi"/>
          <w:b w:val="0"/>
          <w:bCs w:val="0"/>
          <w:kern w:val="2"/>
          <w:sz w:val="32"/>
          <w:szCs w:val="24"/>
          <w:highlight w:val="none"/>
          <w:lang w:val="en-US" w:eastAsia="zh-CN" w:bidi="ar-SA"/>
        </w:rPr>
        <w:t>本办法下列用语的含义：</w:t>
      </w:r>
    </w:p>
    <w:p>
      <w:pPr>
        <w:rPr>
          <w:rFonts w:hint="default"/>
          <w:b w:val="0"/>
          <w:bCs w:val="0"/>
          <w:highlight w:val="none"/>
          <w:lang w:val="en-US" w:eastAsia="zh-CN"/>
        </w:rPr>
      </w:pPr>
      <w:r>
        <w:rPr>
          <w:rFonts w:hint="eastAsia"/>
          <w:b w:val="0"/>
          <w:bCs w:val="0"/>
          <w:highlight w:val="none"/>
          <w:lang w:val="en-US" w:eastAsia="zh-CN"/>
        </w:rPr>
        <w:t>转移，是指以贮存、利用或者处置一般工业固体废物为目的，将一般工业固体废物从移出人的场所移出，交付承运人并移入接收人场所的活动。</w:t>
      </w:r>
    </w:p>
    <w:p>
      <w:pPr>
        <w:rPr>
          <w:rFonts w:hint="default"/>
          <w:b w:val="0"/>
          <w:bCs w:val="0"/>
          <w:highlight w:val="none"/>
          <w:lang w:val="en-US" w:eastAsia="zh-CN"/>
        </w:rPr>
      </w:pPr>
      <w:r>
        <w:rPr>
          <w:rFonts w:hint="eastAsia"/>
          <w:b w:val="0"/>
          <w:bCs w:val="0"/>
          <w:highlight w:val="none"/>
          <w:lang w:val="en-US" w:eastAsia="zh-CN"/>
        </w:rPr>
        <w:t>移出人，是指一般工业固体废物转移的起始单位，包括一般工业固体废物产生单位和其他经营者、</w:t>
      </w:r>
      <w:r>
        <w:rPr>
          <w:rFonts w:hint="eastAsia"/>
          <w:b w:val="0"/>
          <w:bCs w:val="0"/>
          <w:color w:val="000000" w:themeColor="text1"/>
          <w:highlight w:val="none"/>
          <w:lang w:val="en-US" w:eastAsia="zh-CN"/>
          <w14:textFill>
            <w14:solidFill>
              <w14:schemeClr w14:val="tx1"/>
            </w14:solidFill>
          </w14:textFill>
        </w:rPr>
        <w:t>一般工业固体废物集中收集单位</w:t>
      </w:r>
      <w:r>
        <w:rPr>
          <w:rFonts w:hint="eastAsia"/>
          <w:b w:val="0"/>
          <w:bCs w:val="0"/>
          <w:highlight w:val="none"/>
          <w:lang w:val="en-US" w:eastAsia="zh-CN"/>
        </w:rPr>
        <w:t>。</w:t>
      </w:r>
    </w:p>
    <w:p>
      <w:pPr>
        <w:rPr>
          <w:rFonts w:hint="default"/>
          <w:b w:val="0"/>
          <w:bCs w:val="0"/>
          <w:highlight w:val="none"/>
          <w:lang w:val="en-US" w:eastAsia="zh-CN"/>
        </w:rPr>
      </w:pPr>
      <w:r>
        <w:rPr>
          <w:rFonts w:hint="eastAsia"/>
          <w:b w:val="0"/>
          <w:bCs w:val="0"/>
          <w:highlight w:val="none"/>
          <w:lang w:val="en-US" w:eastAsia="zh-CN"/>
        </w:rPr>
        <w:t>承运人，是指承担一般工业固体废物运输作业任务</w:t>
      </w:r>
      <w:r>
        <w:rPr>
          <w:rFonts w:hint="eastAsia"/>
          <w:b w:val="0"/>
          <w:bCs w:val="0"/>
          <w:highlight w:val="none"/>
          <w:lang w:val="en-US" w:eastAsia="zh-CN"/>
        </w:rPr>
        <w:t>的单位</w:t>
      </w:r>
      <w:r>
        <w:rPr>
          <w:rFonts w:hint="eastAsia"/>
          <w:b w:val="0"/>
          <w:bCs w:val="0"/>
          <w:highlight w:val="none"/>
          <w:lang w:val="en-US" w:eastAsia="zh-CN"/>
        </w:rPr>
        <w:t>和其他经营者。</w:t>
      </w:r>
    </w:p>
    <w:p>
      <w:pPr>
        <w:rPr>
          <w:rFonts w:hint="eastAsia"/>
          <w:b w:val="0"/>
          <w:bCs w:val="0"/>
          <w:highlight w:val="none"/>
          <w:lang w:val="en-US" w:eastAsia="zh-CN"/>
        </w:rPr>
      </w:pPr>
      <w:r>
        <w:rPr>
          <w:rFonts w:hint="eastAsia"/>
          <w:b w:val="0"/>
          <w:bCs w:val="0"/>
          <w:highlight w:val="none"/>
          <w:lang w:val="en-US" w:eastAsia="zh-CN"/>
        </w:rPr>
        <w:t>接收人，是指一般工业固体废物转移的目的地单位，即一般工业固体废物的收货人，包括一般工业固体废物集中收集、利用、处置单位和其他经营者。</w:t>
      </w:r>
    </w:p>
    <w:p>
      <w:pPr>
        <w:ind w:firstLine="640" w:firstLineChars="200"/>
        <w:rPr>
          <w:rFonts w:hint="default"/>
          <w:b w:val="0"/>
          <w:bCs w:val="0"/>
          <w:highlight w:val="none"/>
          <w:lang w:val="en-US" w:eastAsia="zh-CN"/>
        </w:rPr>
      </w:pPr>
      <w:r>
        <w:rPr>
          <w:rFonts w:hint="default"/>
          <w:b w:val="0"/>
          <w:bCs w:val="0"/>
          <w:highlight w:val="none"/>
          <w:lang w:val="en-US" w:eastAsia="zh-CN"/>
        </w:rPr>
        <w:t>环保共性产业园</w:t>
      </w:r>
      <w:r>
        <w:rPr>
          <w:rFonts w:hint="eastAsia"/>
          <w:b w:val="0"/>
          <w:bCs w:val="0"/>
          <w:highlight w:val="none"/>
          <w:lang w:val="en-US" w:eastAsia="zh-CN"/>
        </w:rPr>
        <w:t>，</w:t>
      </w:r>
      <w:r>
        <w:rPr>
          <w:rFonts w:hint="default"/>
          <w:b w:val="0"/>
          <w:bCs w:val="0"/>
          <w:highlight w:val="none"/>
          <w:lang w:val="en-US" w:eastAsia="zh-CN"/>
        </w:rPr>
        <w:t>中山市生态环境局按《中山市环保共性产业园规划》划定且经认定的园区。</w:t>
      </w:r>
    </w:p>
    <w:p>
      <w:pPr>
        <w:pStyle w:val="3"/>
        <w:keepNext w:val="0"/>
        <w:keepLines w:val="0"/>
        <w:pageBreakBefore w:val="0"/>
        <w:widowControl w:val="0"/>
        <w:numPr>
          <w:ilvl w:val="1"/>
          <w:numId w:val="0"/>
        </w:numPr>
        <w:kinsoku/>
        <w:wordWrap/>
        <w:overflowPunct/>
        <w:topLinePunct w:val="0"/>
        <w:autoSpaceDE/>
        <w:autoSpaceDN/>
        <w:bidi w:val="0"/>
        <w:adjustRightInd/>
        <w:snapToGrid/>
        <w:ind w:leftChars="200"/>
        <w:textAlignment w:val="auto"/>
        <w:rPr>
          <w:rFonts w:hint="default"/>
          <w:highlight w:val="none"/>
          <w:lang w:val="en-US" w:eastAsia="zh-CN"/>
        </w:rPr>
      </w:pPr>
      <w:r>
        <w:rPr>
          <w:rFonts w:hint="eastAsia" w:ascii="仿宋_GB2312" w:hAnsi="仿宋_GB2312" w:eastAsia="仿宋_GB2312" w:cs="仿宋_GB2312"/>
          <w:b/>
          <w:bCs w:val="0"/>
          <w:kern w:val="2"/>
          <w:sz w:val="32"/>
          <w:szCs w:val="24"/>
          <w:highlight w:val="none"/>
          <w:lang w:val="en-US" w:eastAsia="zh-CN" w:bidi="ar-SA"/>
        </w:rPr>
        <w:t>第十二条【施行时间】</w:t>
      </w:r>
      <w:r>
        <w:rPr>
          <w:rFonts w:hint="eastAsia" w:ascii="Times New Roman" w:hAnsi="Times New Roman" w:eastAsia="仿宋_GB2312" w:cstheme="minorBidi"/>
          <w:b w:val="0"/>
          <w:bCs w:val="0"/>
          <w:kern w:val="2"/>
          <w:sz w:val="32"/>
          <w:szCs w:val="24"/>
          <w:highlight w:val="none"/>
          <w:lang w:val="en-US" w:eastAsia="zh-CN" w:bidi="ar-SA"/>
        </w:rPr>
        <w:t>本办法自</w:t>
      </w:r>
      <w:r>
        <w:rPr>
          <w:rFonts w:hint="eastAsia" w:eastAsia="仿宋_GB2312" w:cstheme="minorBidi"/>
          <w:b w:val="0"/>
          <w:bCs w:val="0"/>
          <w:kern w:val="2"/>
          <w:sz w:val="32"/>
          <w:szCs w:val="24"/>
          <w:highlight w:val="none"/>
          <w:lang w:val="en-US" w:eastAsia="zh-CN" w:bidi="ar-SA"/>
        </w:rPr>
        <w:t>发布之日起</w:t>
      </w:r>
      <w:r>
        <w:rPr>
          <w:rFonts w:hint="eastAsia" w:ascii="Times New Roman" w:hAnsi="Times New Roman" w:eastAsia="仿宋_GB2312" w:cstheme="minorBidi"/>
          <w:b w:val="0"/>
          <w:bCs w:val="0"/>
          <w:kern w:val="2"/>
          <w:sz w:val="32"/>
          <w:szCs w:val="24"/>
          <w:highlight w:val="none"/>
          <w:lang w:val="en-US" w:eastAsia="zh-CN" w:bidi="ar-SA"/>
        </w:rPr>
        <w:t>施行。</w:t>
      </w:r>
    </w:p>
    <w:p>
      <w:pPr>
        <w:pStyle w:val="21"/>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sectPr>
          <w:footerReference r:id="rId5" w:type="default"/>
          <w:pgSz w:w="11906" w:h="16838"/>
          <w:pgMar w:top="1440" w:right="1080" w:bottom="1440" w:left="1080" w:header="851" w:footer="992" w:gutter="0"/>
          <w:pgNumType w:fmt="numberInDash"/>
          <w:cols w:space="0" w:num="1"/>
          <w:rtlGutter w:val="0"/>
          <w:docGrid w:type="lines" w:linePitch="634" w:charSpace="0"/>
        </w:sectPr>
      </w:pPr>
    </w:p>
    <w:p>
      <w:pPr>
        <w:pStyle w:val="20"/>
        <w:bidi w:val="0"/>
        <w:rPr>
          <w:rFonts w:hint="default"/>
          <w:highlight w:val="none"/>
          <w:lang w:val="en-US" w:eastAsia="zh-CN"/>
        </w:rPr>
      </w:pPr>
      <w:r>
        <w:rPr>
          <w:rFonts w:hint="eastAsia"/>
          <w:highlight w:val="none"/>
          <w:lang w:val="en-US" w:eastAsia="zh-CN"/>
        </w:rPr>
        <w:t>附1</w:t>
      </w:r>
    </w:p>
    <w:p>
      <w:pPr>
        <w:pStyle w:val="18"/>
        <w:bidi w:val="0"/>
        <w:rPr>
          <w:rFonts w:hint="eastAsia"/>
          <w:highlight w:val="none"/>
          <w:lang w:val="en-US" w:eastAsia="zh-CN"/>
        </w:rPr>
      </w:pPr>
      <w:r>
        <w:rPr>
          <w:rFonts w:hint="eastAsia"/>
          <w:highlight w:val="none"/>
          <w:lang w:val="en-US" w:eastAsia="zh-CN"/>
        </w:rPr>
        <w:t>中山市一般工业固体废物转移联单</w:t>
      </w:r>
    </w:p>
    <w:p>
      <w:pPr>
        <w:jc w:val="center"/>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（样 式）</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24"/>
          <w:szCs w:val="24"/>
          <w:highlight w:val="none"/>
          <w:lang w:val="en-US" w:eastAsia="zh-CN"/>
        </w:rPr>
      </w:pPr>
      <w:r>
        <w:rPr>
          <w:rFonts w:hint="eastAsia"/>
          <w:b/>
          <w:bCs/>
          <w:sz w:val="24"/>
          <w:szCs w:val="24"/>
          <w:highlight w:val="none"/>
          <w:lang w:val="en-US" w:eastAsia="zh-CN"/>
        </w:rPr>
        <w:t>联单编号：                                                       二维码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278"/>
        <w:gridCol w:w="542"/>
        <w:gridCol w:w="733"/>
        <w:gridCol w:w="91"/>
        <w:gridCol w:w="488"/>
        <w:gridCol w:w="365"/>
        <w:gridCol w:w="819"/>
        <w:gridCol w:w="421"/>
        <w:gridCol w:w="452"/>
        <w:gridCol w:w="234"/>
        <w:gridCol w:w="468"/>
        <w:gridCol w:w="1057"/>
        <w:gridCol w:w="8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07" w:type="dxa"/>
            <w:gridSpan w:val="15"/>
          </w:tcPr>
          <w:p>
            <w:pPr>
              <w:pStyle w:val="23"/>
              <w:bidi w:val="0"/>
              <w:rPr>
                <w:rFonts w:hint="default"/>
                <w:highlight w:val="none"/>
                <w:lang w:val="en-US" w:eastAsia="zh-CN"/>
              </w:rPr>
            </w:pPr>
            <w:r>
              <w:rPr>
                <w:rFonts w:hint="eastAsia" w:ascii="黑体" w:hAnsi="黑体" w:eastAsia="黑体" w:cs="黑体"/>
                <w:highlight w:val="none"/>
                <w:lang w:val="en-US" w:eastAsia="zh-CN"/>
              </w:rPr>
              <w:t>第一部分：废物移出信息（由移出人填写）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13" w:type="dxa"/>
            <w:gridSpan w:val="7"/>
          </w:tcPr>
          <w:p>
            <w:pPr>
              <w:pStyle w:val="23"/>
              <w:bidi w:val="0"/>
              <w:rPr>
                <w:rFonts w:hint="default"/>
                <w:highlight w:val="none"/>
                <w:lang w:val="en-US" w:eastAsia="zh-CN"/>
              </w:rPr>
            </w:pPr>
            <w:r>
              <w:rPr>
                <w:rFonts w:hint="eastAsia"/>
                <w:highlight w:val="none"/>
                <w:lang w:val="en-US" w:eastAsia="zh-CN"/>
              </w:rPr>
              <w:t>单位名称：</w:t>
            </w:r>
          </w:p>
        </w:tc>
        <w:tc>
          <w:tcPr>
            <w:tcW w:w="4894" w:type="dxa"/>
            <w:gridSpan w:val="8"/>
          </w:tcPr>
          <w:p>
            <w:pPr>
              <w:pStyle w:val="23"/>
              <w:bidi w:val="0"/>
              <w:rPr>
                <w:rFonts w:hint="default"/>
                <w:highlight w:val="none"/>
                <w:lang w:val="en-US" w:eastAsia="zh-CN"/>
              </w:rPr>
            </w:pPr>
            <w:r>
              <w:rPr>
                <w:rFonts w:hint="eastAsia"/>
                <w:highlight w:val="none"/>
                <w:lang w:val="en-US" w:eastAsia="zh-CN"/>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13" w:type="dxa"/>
            <w:gridSpan w:val="7"/>
          </w:tcPr>
          <w:p>
            <w:pPr>
              <w:pStyle w:val="23"/>
              <w:bidi w:val="0"/>
              <w:rPr>
                <w:rFonts w:hint="default"/>
                <w:highlight w:val="none"/>
                <w:lang w:val="en-US" w:eastAsia="zh-CN"/>
              </w:rPr>
            </w:pPr>
            <w:r>
              <w:rPr>
                <w:rFonts w:hint="eastAsia"/>
                <w:highlight w:val="none"/>
                <w:lang w:val="en-US" w:eastAsia="zh-CN"/>
              </w:rPr>
              <w:t>单位地址：</w:t>
            </w:r>
          </w:p>
        </w:tc>
        <w:tc>
          <w:tcPr>
            <w:tcW w:w="4894" w:type="dxa"/>
            <w:gridSpan w:val="8"/>
          </w:tcPr>
          <w:p>
            <w:pPr>
              <w:pStyle w:val="23"/>
              <w:bidi w:val="0"/>
              <w:rPr>
                <w:rFonts w:hint="default"/>
                <w:highlight w:val="none"/>
                <w:lang w:val="en-US" w:eastAsia="zh-CN"/>
              </w:rPr>
            </w:pPr>
            <w:r>
              <w:rPr>
                <w:rFonts w:hint="eastAsia"/>
                <w:highlight w:val="none"/>
                <w:lang w:val="en-US" w:eastAsia="zh-CN"/>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07" w:type="dxa"/>
            <w:gridSpan w:val="15"/>
          </w:tcPr>
          <w:p>
            <w:pPr>
              <w:pStyle w:val="23"/>
              <w:bidi w:val="0"/>
              <w:rPr>
                <w:rFonts w:hint="default"/>
                <w:highlight w:val="none"/>
                <w:lang w:val="en-US" w:eastAsia="zh-CN"/>
              </w:rPr>
            </w:pPr>
            <w:r>
              <w:rPr>
                <w:rFonts w:hint="eastAsia"/>
                <w:highlight w:val="none"/>
                <w:lang w:val="en-US" w:eastAsia="zh-CN"/>
              </w:rPr>
              <w:t>是否跨省转移：□是   □否      如是，填写许可（备案）编号：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13" w:type="dxa"/>
            <w:gridSpan w:val="7"/>
          </w:tcPr>
          <w:p>
            <w:pPr>
              <w:pStyle w:val="23"/>
              <w:bidi w:val="0"/>
              <w:rPr>
                <w:rFonts w:hint="eastAsia"/>
                <w:highlight w:val="none"/>
                <w:lang w:val="en-US" w:eastAsia="zh-CN"/>
              </w:rPr>
            </w:pPr>
            <w:r>
              <w:rPr>
                <w:rFonts w:hint="eastAsia"/>
                <w:highlight w:val="none"/>
                <w:lang w:val="en-US" w:eastAsia="zh-CN"/>
              </w:rPr>
              <w:t>运输安排情况：□由移出人安排运输</w:t>
            </w:r>
          </w:p>
          <w:p>
            <w:pPr>
              <w:pStyle w:val="23"/>
              <w:bidi w:val="0"/>
              <w:ind w:firstLine="1680" w:firstLineChars="700"/>
              <w:rPr>
                <w:rFonts w:hint="default"/>
                <w:highlight w:val="none"/>
                <w:lang w:val="en-US" w:eastAsia="zh-CN"/>
              </w:rPr>
            </w:pPr>
            <w:r>
              <w:rPr>
                <w:rFonts w:hint="eastAsia"/>
                <w:highlight w:val="none"/>
                <w:lang w:val="en-US" w:eastAsia="zh-CN"/>
              </w:rPr>
              <w:t>□由接收人安排运输</w:t>
            </w:r>
          </w:p>
        </w:tc>
        <w:tc>
          <w:tcPr>
            <w:tcW w:w="4894" w:type="dxa"/>
            <w:gridSpan w:val="8"/>
          </w:tcPr>
          <w:p>
            <w:pPr>
              <w:pStyle w:val="23"/>
              <w:bidi w:val="0"/>
              <w:rPr>
                <w:rFonts w:hint="default"/>
                <w:highlight w:val="none"/>
                <w:lang w:val="en-US" w:eastAsia="zh-CN"/>
              </w:rPr>
            </w:pPr>
            <w:r>
              <w:rPr>
                <w:rFonts w:hint="eastAsia"/>
                <w:highlight w:val="none"/>
                <w:lang w:val="en-US" w:eastAsia="zh-CN"/>
              </w:rPr>
              <w:t>计划转移日期：</w:t>
            </w:r>
            <w:r>
              <w:rPr>
                <w:rFonts w:hint="eastAsia"/>
                <w:highlight w:val="none"/>
              </w:rPr>
              <w:t xml:space="preserve">    </w:t>
            </w:r>
            <w:r>
              <w:rPr>
                <w:highlight w:val="none"/>
              </w:rPr>
              <w:t xml:space="preserve">年 </w:t>
            </w:r>
            <w:r>
              <w:rPr>
                <w:rFonts w:hint="eastAsia"/>
                <w:highlight w:val="none"/>
              </w:rPr>
              <w:t xml:space="preserve">  </w:t>
            </w:r>
            <w:r>
              <w:rPr>
                <w:highlight w:val="none"/>
              </w:rPr>
              <w:t xml:space="preserve">月 </w:t>
            </w:r>
            <w:r>
              <w:rPr>
                <w:rFonts w:hint="eastAsia"/>
                <w:highlight w:val="none"/>
              </w:rPr>
              <w:t xml:space="preserve">  </w:t>
            </w:r>
            <w:r>
              <w:rPr>
                <w:highlight w:val="none"/>
              </w:rPr>
              <w:t>日</w:t>
            </w:r>
            <w:r>
              <w:rPr>
                <w:rFonts w:hint="eastAsia"/>
                <w:highlight w:val="none"/>
              </w:rPr>
              <w:t xml:space="preserve">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13" w:type="dxa"/>
            <w:gridSpan w:val="7"/>
          </w:tcPr>
          <w:p>
            <w:pPr>
              <w:pStyle w:val="23"/>
              <w:bidi w:val="0"/>
              <w:rPr>
                <w:rFonts w:hint="default"/>
                <w:highlight w:val="none"/>
                <w:lang w:val="en-US" w:eastAsia="zh-CN"/>
              </w:rPr>
            </w:pPr>
            <w:r>
              <w:rPr>
                <w:rFonts w:hint="eastAsia"/>
                <w:highlight w:val="none"/>
                <w:lang w:val="en-US" w:eastAsia="zh-CN"/>
              </w:rPr>
              <w:t>经办人：</w:t>
            </w:r>
          </w:p>
        </w:tc>
        <w:tc>
          <w:tcPr>
            <w:tcW w:w="4894" w:type="dxa"/>
            <w:gridSpan w:val="8"/>
          </w:tcPr>
          <w:p>
            <w:pPr>
              <w:pStyle w:val="23"/>
              <w:bidi w:val="0"/>
              <w:rPr>
                <w:rFonts w:hint="default"/>
                <w:highlight w:val="none"/>
                <w:lang w:val="en-US" w:eastAsia="zh-CN"/>
              </w:rPr>
            </w:pPr>
            <w:r>
              <w:rPr>
                <w:rFonts w:hint="eastAsia"/>
                <w:highlight w:val="none"/>
                <w:lang w:val="en-US" w:eastAsia="zh-CN"/>
              </w:rPr>
              <w:t>经办人联系电话：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vAlign w:val="center"/>
          </w:tcPr>
          <w:p>
            <w:pPr>
              <w:pStyle w:val="23"/>
              <w:bidi w:val="0"/>
              <w:jc w:val="center"/>
              <w:rPr>
                <w:rFonts w:hint="eastAsia"/>
                <w:highlight w:val="none"/>
                <w:lang w:val="en-US" w:eastAsia="zh-CN"/>
              </w:rPr>
            </w:pPr>
            <w:r>
              <w:rPr>
                <w:rFonts w:hint="eastAsia"/>
                <w:highlight w:val="none"/>
                <w:lang w:val="en-US" w:eastAsia="zh-CN"/>
              </w:rPr>
              <w:t>序号</w:t>
            </w:r>
          </w:p>
        </w:tc>
        <w:tc>
          <w:tcPr>
            <w:tcW w:w="1278" w:type="dxa"/>
            <w:vAlign w:val="center"/>
          </w:tcPr>
          <w:p>
            <w:pPr>
              <w:pStyle w:val="23"/>
              <w:bidi w:val="0"/>
              <w:jc w:val="center"/>
              <w:rPr>
                <w:rFonts w:hint="eastAsia"/>
                <w:highlight w:val="none"/>
                <w:lang w:val="en-US" w:eastAsia="zh-CN"/>
              </w:rPr>
            </w:pPr>
            <w:r>
              <w:rPr>
                <w:rFonts w:hint="eastAsia"/>
                <w:highlight w:val="none"/>
                <w:lang w:val="en-US" w:eastAsia="zh-CN"/>
              </w:rPr>
              <w:t>废物名称</w:t>
            </w:r>
          </w:p>
        </w:tc>
        <w:tc>
          <w:tcPr>
            <w:tcW w:w="1275" w:type="dxa"/>
            <w:gridSpan w:val="2"/>
            <w:vAlign w:val="center"/>
          </w:tcPr>
          <w:p>
            <w:pPr>
              <w:pStyle w:val="23"/>
              <w:bidi w:val="0"/>
              <w:jc w:val="center"/>
              <w:rPr>
                <w:rFonts w:hint="default"/>
                <w:highlight w:val="none"/>
                <w:lang w:val="en-US" w:eastAsia="zh-CN"/>
              </w:rPr>
            </w:pPr>
            <w:r>
              <w:rPr>
                <w:rFonts w:hint="eastAsia"/>
                <w:highlight w:val="none"/>
                <w:lang w:val="en-US" w:eastAsia="zh-CN"/>
              </w:rPr>
              <w:t>废物代码</w:t>
            </w:r>
          </w:p>
        </w:tc>
        <w:tc>
          <w:tcPr>
            <w:tcW w:w="944" w:type="dxa"/>
            <w:gridSpan w:val="3"/>
            <w:vAlign w:val="center"/>
          </w:tcPr>
          <w:p>
            <w:pPr>
              <w:pStyle w:val="23"/>
              <w:bidi w:val="0"/>
              <w:jc w:val="center"/>
              <w:rPr>
                <w:rFonts w:hint="default"/>
                <w:highlight w:val="none"/>
                <w:lang w:val="en-US" w:eastAsia="zh-CN"/>
              </w:rPr>
            </w:pPr>
            <w:r>
              <w:rPr>
                <w:rFonts w:hint="eastAsia"/>
                <w:highlight w:val="none"/>
                <w:lang w:val="en-US" w:eastAsia="zh-CN"/>
              </w:rPr>
              <w:t>废物类别</w:t>
            </w:r>
          </w:p>
        </w:tc>
        <w:tc>
          <w:tcPr>
            <w:tcW w:w="1240" w:type="dxa"/>
            <w:gridSpan w:val="2"/>
            <w:vAlign w:val="center"/>
          </w:tcPr>
          <w:p>
            <w:pPr>
              <w:pStyle w:val="23"/>
              <w:bidi w:val="0"/>
              <w:jc w:val="center"/>
              <w:rPr>
                <w:rFonts w:hint="default"/>
                <w:highlight w:val="none"/>
                <w:lang w:val="en-US" w:eastAsia="zh-CN"/>
              </w:rPr>
            </w:pPr>
            <w:r>
              <w:rPr>
                <w:rFonts w:hint="eastAsia"/>
                <w:highlight w:val="none"/>
                <w:lang w:val="en-US" w:eastAsia="zh-CN"/>
              </w:rPr>
              <w:t>形态</w:t>
            </w:r>
          </w:p>
        </w:tc>
        <w:tc>
          <w:tcPr>
            <w:tcW w:w="1154" w:type="dxa"/>
            <w:gridSpan w:val="3"/>
            <w:vAlign w:val="center"/>
          </w:tcPr>
          <w:p>
            <w:pPr>
              <w:pStyle w:val="23"/>
              <w:bidi w:val="0"/>
              <w:jc w:val="center"/>
              <w:rPr>
                <w:rFonts w:hint="eastAsia"/>
                <w:highlight w:val="none"/>
                <w:lang w:val="en-US" w:eastAsia="zh-CN"/>
              </w:rPr>
            </w:pPr>
            <w:r>
              <w:rPr>
                <w:rFonts w:hint="eastAsia"/>
                <w:highlight w:val="none"/>
                <w:lang w:val="en-US" w:eastAsia="zh-CN"/>
              </w:rPr>
              <w:t>包装类型</w:t>
            </w:r>
          </w:p>
        </w:tc>
        <w:tc>
          <w:tcPr>
            <w:tcW w:w="1143" w:type="dxa"/>
            <w:gridSpan w:val="2"/>
            <w:vAlign w:val="center"/>
          </w:tcPr>
          <w:p>
            <w:pPr>
              <w:pStyle w:val="23"/>
              <w:bidi w:val="0"/>
              <w:jc w:val="center"/>
              <w:rPr>
                <w:rFonts w:hint="default"/>
                <w:highlight w:val="none"/>
                <w:lang w:val="en-US" w:eastAsia="zh-CN"/>
              </w:rPr>
            </w:pPr>
            <w:r>
              <w:rPr>
                <w:rFonts w:hint="eastAsia"/>
                <w:highlight w:val="none"/>
                <w:lang w:val="en-US" w:eastAsia="zh-CN"/>
              </w:rPr>
              <w:t>包装数量</w:t>
            </w:r>
          </w:p>
        </w:tc>
        <w:tc>
          <w:tcPr>
            <w:tcW w:w="1357" w:type="dxa"/>
            <w:vAlign w:val="center"/>
          </w:tcPr>
          <w:p>
            <w:pPr>
              <w:pStyle w:val="23"/>
              <w:bidi w:val="0"/>
              <w:jc w:val="center"/>
              <w:rPr>
                <w:rFonts w:hint="eastAsia" w:eastAsia="宋体"/>
                <w:highlight w:val="none"/>
                <w:lang w:val="en-US" w:eastAsia="zh-CN"/>
              </w:rPr>
            </w:pPr>
            <w:r>
              <w:rPr>
                <w:rFonts w:hint="eastAsia"/>
                <w:highlight w:val="none"/>
                <w:lang w:val="en-US" w:eastAsia="zh-CN"/>
              </w:rPr>
              <w:t>移出量</w:t>
            </w:r>
            <w:r>
              <w:rPr>
                <w:rFonts w:hint="eastAsia"/>
                <w:highlight w:val="none"/>
                <w:lang w:eastAsia="zh-CN"/>
              </w:rPr>
              <w:t>（</w:t>
            </w:r>
            <w:r>
              <w:rPr>
                <w:rFonts w:hint="eastAsia"/>
                <w:highlight w:val="none"/>
                <w:lang w:val="en-US" w:eastAsia="zh-CN"/>
              </w:rPr>
              <w:t>吨</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tcPr>
          <w:p>
            <w:pPr>
              <w:pStyle w:val="23"/>
              <w:bidi w:val="0"/>
              <w:rPr>
                <w:rFonts w:hint="eastAsia"/>
                <w:highlight w:val="none"/>
                <w:lang w:val="en-US" w:eastAsia="zh-CN"/>
              </w:rPr>
            </w:pPr>
          </w:p>
        </w:tc>
        <w:tc>
          <w:tcPr>
            <w:tcW w:w="1278" w:type="dxa"/>
          </w:tcPr>
          <w:p>
            <w:pPr>
              <w:pStyle w:val="23"/>
              <w:bidi w:val="0"/>
              <w:rPr>
                <w:rFonts w:hint="eastAsia"/>
                <w:highlight w:val="none"/>
                <w:lang w:val="en-US" w:eastAsia="zh-CN"/>
              </w:rPr>
            </w:pPr>
          </w:p>
        </w:tc>
        <w:tc>
          <w:tcPr>
            <w:tcW w:w="1275" w:type="dxa"/>
            <w:gridSpan w:val="2"/>
            <w:vAlign w:val="center"/>
          </w:tcPr>
          <w:p>
            <w:pPr>
              <w:pStyle w:val="23"/>
              <w:bidi w:val="0"/>
              <w:rPr>
                <w:rFonts w:hint="eastAsia"/>
                <w:highlight w:val="none"/>
                <w:lang w:val="en-US" w:eastAsia="zh-CN"/>
              </w:rPr>
            </w:pPr>
          </w:p>
        </w:tc>
        <w:tc>
          <w:tcPr>
            <w:tcW w:w="944" w:type="dxa"/>
            <w:gridSpan w:val="3"/>
          </w:tcPr>
          <w:p>
            <w:pPr>
              <w:pStyle w:val="23"/>
              <w:bidi w:val="0"/>
              <w:rPr>
                <w:rFonts w:hint="eastAsia"/>
                <w:highlight w:val="none"/>
                <w:lang w:val="en-US" w:eastAsia="zh-CN"/>
              </w:rPr>
            </w:pPr>
          </w:p>
        </w:tc>
        <w:tc>
          <w:tcPr>
            <w:tcW w:w="1240" w:type="dxa"/>
            <w:gridSpan w:val="2"/>
            <w:vAlign w:val="center"/>
          </w:tcPr>
          <w:p>
            <w:pPr>
              <w:pStyle w:val="23"/>
              <w:bidi w:val="0"/>
              <w:rPr>
                <w:rFonts w:hint="eastAsia"/>
                <w:highlight w:val="none"/>
                <w:lang w:val="en-US" w:eastAsia="zh-CN"/>
              </w:rPr>
            </w:pPr>
          </w:p>
        </w:tc>
        <w:tc>
          <w:tcPr>
            <w:tcW w:w="1154" w:type="dxa"/>
            <w:gridSpan w:val="3"/>
            <w:vAlign w:val="center"/>
          </w:tcPr>
          <w:p>
            <w:pPr>
              <w:pStyle w:val="23"/>
              <w:bidi w:val="0"/>
              <w:rPr>
                <w:rFonts w:hint="eastAsia"/>
                <w:highlight w:val="none"/>
                <w:lang w:val="en-US" w:eastAsia="zh-CN"/>
              </w:rPr>
            </w:pPr>
          </w:p>
        </w:tc>
        <w:tc>
          <w:tcPr>
            <w:tcW w:w="1143" w:type="dxa"/>
            <w:gridSpan w:val="2"/>
          </w:tcPr>
          <w:p>
            <w:pPr>
              <w:pStyle w:val="23"/>
              <w:bidi w:val="0"/>
              <w:rPr>
                <w:rFonts w:hint="eastAsia"/>
                <w:highlight w:val="none"/>
                <w:lang w:val="en-US" w:eastAsia="zh-CN"/>
              </w:rPr>
            </w:pPr>
          </w:p>
        </w:tc>
        <w:tc>
          <w:tcPr>
            <w:tcW w:w="1357" w:type="dxa"/>
          </w:tcPr>
          <w:p>
            <w:pPr>
              <w:pStyle w:val="23"/>
              <w:bidi w:val="0"/>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tcPr>
          <w:p>
            <w:pPr>
              <w:pStyle w:val="23"/>
              <w:bidi w:val="0"/>
              <w:rPr>
                <w:rFonts w:hint="eastAsia"/>
                <w:highlight w:val="none"/>
                <w:lang w:val="en-US" w:eastAsia="zh-CN"/>
              </w:rPr>
            </w:pPr>
          </w:p>
        </w:tc>
        <w:tc>
          <w:tcPr>
            <w:tcW w:w="1278" w:type="dxa"/>
          </w:tcPr>
          <w:p>
            <w:pPr>
              <w:pStyle w:val="23"/>
              <w:bidi w:val="0"/>
              <w:rPr>
                <w:rFonts w:hint="eastAsia"/>
                <w:highlight w:val="none"/>
                <w:lang w:val="en-US" w:eastAsia="zh-CN"/>
              </w:rPr>
            </w:pPr>
          </w:p>
        </w:tc>
        <w:tc>
          <w:tcPr>
            <w:tcW w:w="1275" w:type="dxa"/>
            <w:gridSpan w:val="2"/>
            <w:vAlign w:val="center"/>
          </w:tcPr>
          <w:p>
            <w:pPr>
              <w:pStyle w:val="23"/>
              <w:bidi w:val="0"/>
              <w:rPr>
                <w:rFonts w:hint="eastAsia"/>
                <w:highlight w:val="none"/>
                <w:lang w:val="en-US" w:eastAsia="zh-CN"/>
              </w:rPr>
            </w:pPr>
          </w:p>
        </w:tc>
        <w:tc>
          <w:tcPr>
            <w:tcW w:w="944" w:type="dxa"/>
            <w:gridSpan w:val="3"/>
          </w:tcPr>
          <w:p>
            <w:pPr>
              <w:pStyle w:val="23"/>
              <w:bidi w:val="0"/>
              <w:rPr>
                <w:rFonts w:hint="eastAsia"/>
                <w:highlight w:val="none"/>
                <w:lang w:val="en-US" w:eastAsia="zh-CN"/>
              </w:rPr>
            </w:pPr>
          </w:p>
        </w:tc>
        <w:tc>
          <w:tcPr>
            <w:tcW w:w="1240" w:type="dxa"/>
            <w:gridSpan w:val="2"/>
            <w:vAlign w:val="center"/>
          </w:tcPr>
          <w:p>
            <w:pPr>
              <w:pStyle w:val="23"/>
              <w:bidi w:val="0"/>
              <w:rPr>
                <w:rFonts w:hint="eastAsia"/>
                <w:highlight w:val="none"/>
                <w:lang w:val="en-US" w:eastAsia="zh-CN"/>
              </w:rPr>
            </w:pPr>
          </w:p>
        </w:tc>
        <w:tc>
          <w:tcPr>
            <w:tcW w:w="1154" w:type="dxa"/>
            <w:gridSpan w:val="3"/>
            <w:vAlign w:val="center"/>
          </w:tcPr>
          <w:p>
            <w:pPr>
              <w:pStyle w:val="23"/>
              <w:bidi w:val="0"/>
              <w:rPr>
                <w:rFonts w:hint="eastAsia"/>
                <w:highlight w:val="none"/>
                <w:lang w:val="en-US" w:eastAsia="zh-CN"/>
              </w:rPr>
            </w:pPr>
          </w:p>
        </w:tc>
        <w:tc>
          <w:tcPr>
            <w:tcW w:w="1143" w:type="dxa"/>
            <w:gridSpan w:val="2"/>
          </w:tcPr>
          <w:p>
            <w:pPr>
              <w:pStyle w:val="23"/>
              <w:bidi w:val="0"/>
              <w:rPr>
                <w:rFonts w:hint="eastAsia"/>
                <w:highlight w:val="none"/>
                <w:lang w:val="en-US" w:eastAsia="zh-CN"/>
              </w:rPr>
            </w:pPr>
          </w:p>
        </w:tc>
        <w:tc>
          <w:tcPr>
            <w:tcW w:w="1357" w:type="dxa"/>
          </w:tcPr>
          <w:p>
            <w:pPr>
              <w:pStyle w:val="23"/>
              <w:bidi w:val="0"/>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tcPr>
          <w:p>
            <w:pPr>
              <w:pStyle w:val="23"/>
              <w:bidi w:val="0"/>
              <w:rPr>
                <w:rFonts w:hint="eastAsia"/>
                <w:highlight w:val="none"/>
                <w:lang w:val="en-US" w:eastAsia="zh-CN"/>
              </w:rPr>
            </w:pPr>
          </w:p>
        </w:tc>
        <w:tc>
          <w:tcPr>
            <w:tcW w:w="1278" w:type="dxa"/>
          </w:tcPr>
          <w:p>
            <w:pPr>
              <w:pStyle w:val="23"/>
              <w:bidi w:val="0"/>
              <w:rPr>
                <w:rFonts w:hint="eastAsia"/>
                <w:highlight w:val="none"/>
                <w:lang w:val="en-US" w:eastAsia="zh-CN"/>
              </w:rPr>
            </w:pPr>
          </w:p>
        </w:tc>
        <w:tc>
          <w:tcPr>
            <w:tcW w:w="1275" w:type="dxa"/>
            <w:gridSpan w:val="2"/>
            <w:vAlign w:val="center"/>
          </w:tcPr>
          <w:p>
            <w:pPr>
              <w:pStyle w:val="23"/>
              <w:bidi w:val="0"/>
              <w:rPr>
                <w:rFonts w:hint="eastAsia"/>
                <w:highlight w:val="none"/>
                <w:lang w:val="en-US" w:eastAsia="zh-CN"/>
              </w:rPr>
            </w:pPr>
          </w:p>
        </w:tc>
        <w:tc>
          <w:tcPr>
            <w:tcW w:w="944" w:type="dxa"/>
            <w:gridSpan w:val="3"/>
          </w:tcPr>
          <w:p>
            <w:pPr>
              <w:pStyle w:val="23"/>
              <w:bidi w:val="0"/>
              <w:rPr>
                <w:rFonts w:hint="eastAsia"/>
                <w:highlight w:val="none"/>
                <w:lang w:val="en-US" w:eastAsia="zh-CN"/>
              </w:rPr>
            </w:pPr>
          </w:p>
        </w:tc>
        <w:tc>
          <w:tcPr>
            <w:tcW w:w="1240" w:type="dxa"/>
            <w:gridSpan w:val="2"/>
            <w:vAlign w:val="center"/>
          </w:tcPr>
          <w:p>
            <w:pPr>
              <w:pStyle w:val="23"/>
              <w:bidi w:val="0"/>
              <w:rPr>
                <w:rFonts w:hint="eastAsia"/>
                <w:highlight w:val="none"/>
                <w:lang w:val="en-US" w:eastAsia="zh-CN"/>
              </w:rPr>
            </w:pPr>
          </w:p>
        </w:tc>
        <w:tc>
          <w:tcPr>
            <w:tcW w:w="1154" w:type="dxa"/>
            <w:gridSpan w:val="3"/>
            <w:vAlign w:val="center"/>
          </w:tcPr>
          <w:p>
            <w:pPr>
              <w:pStyle w:val="23"/>
              <w:bidi w:val="0"/>
              <w:rPr>
                <w:rFonts w:hint="eastAsia"/>
                <w:highlight w:val="none"/>
                <w:lang w:val="en-US" w:eastAsia="zh-CN"/>
              </w:rPr>
            </w:pPr>
          </w:p>
        </w:tc>
        <w:tc>
          <w:tcPr>
            <w:tcW w:w="1143" w:type="dxa"/>
            <w:gridSpan w:val="2"/>
          </w:tcPr>
          <w:p>
            <w:pPr>
              <w:pStyle w:val="23"/>
              <w:bidi w:val="0"/>
              <w:rPr>
                <w:rFonts w:hint="eastAsia"/>
                <w:highlight w:val="none"/>
                <w:lang w:val="en-US" w:eastAsia="zh-CN"/>
              </w:rPr>
            </w:pPr>
          </w:p>
        </w:tc>
        <w:tc>
          <w:tcPr>
            <w:tcW w:w="1357" w:type="dxa"/>
          </w:tcPr>
          <w:p>
            <w:pPr>
              <w:pStyle w:val="23"/>
              <w:bidi w:val="0"/>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07" w:type="dxa"/>
            <w:gridSpan w:val="15"/>
          </w:tcPr>
          <w:p>
            <w:pPr>
              <w:pStyle w:val="23"/>
              <w:bidi w:val="0"/>
              <w:rPr>
                <w:rFonts w:hint="default"/>
                <w:highlight w:val="none"/>
                <w:lang w:val="en-US" w:eastAsia="zh-CN"/>
              </w:rPr>
            </w:pPr>
            <w:r>
              <w:rPr>
                <w:rFonts w:hint="eastAsia" w:ascii="黑体" w:hAnsi="黑体" w:eastAsia="黑体" w:cs="黑体"/>
                <w:highlight w:val="none"/>
                <w:lang w:val="en-US" w:eastAsia="zh-CN"/>
              </w:rPr>
              <w:t>第二部分：废物运输单（由承运人填写）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07" w:type="dxa"/>
            <w:gridSpan w:val="15"/>
          </w:tcPr>
          <w:p>
            <w:pPr>
              <w:pStyle w:val="23"/>
              <w:bidi w:val="0"/>
              <w:rPr>
                <w:rFonts w:hint="default"/>
                <w:highlight w:val="none"/>
                <w:lang w:val="en-US" w:eastAsia="zh-CN"/>
              </w:rPr>
            </w:pPr>
            <w:r>
              <w:rPr>
                <w:rFonts w:hint="eastAsia"/>
                <w:highlight w:val="none"/>
                <w:lang w:val="en-US" w:eastAsia="zh-CN"/>
              </w:rPr>
              <w:t>第一承运单位信息（选择承运形式，若为联合承运，需填写联合承运单位信息）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13" w:type="dxa"/>
            <w:gridSpan w:val="7"/>
          </w:tcPr>
          <w:p>
            <w:pPr>
              <w:pStyle w:val="23"/>
              <w:bidi w:val="0"/>
              <w:rPr>
                <w:rFonts w:hint="default"/>
                <w:highlight w:val="none"/>
                <w:lang w:val="en-US" w:eastAsia="zh-CN"/>
              </w:rPr>
            </w:pPr>
            <w:r>
              <w:rPr>
                <w:rFonts w:hint="eastAsia"/>
                <w:highlight w:val="none"/>
                <w:lang w:val="en-US" w:eastAsia="zh-CN"/>
              </w:rPr>
              <w:t>单位名称：</w:t>
            </w:r>
          </w:p>
        </w:tc>
        <w:tc>
          <w:tcPr>
            <w:tcW w:w="4894" w:type="dxa"/>
            <w:gridSpan w:val="8"/>
          </w:tcPr>
          <w:p>
            <w:pPr>
              <w:pStyle w:val="23"/>
              <w:bidi w:val="0"/>
              <w:rPr>
                <w:rFonts w:hint="default"/>
                <w:highlight w:val="none"/>
                <w:lang w:val="en-US" w:eastAsia="zh-CN"/>
              </w:rPr>
            </w:pPr>
            <w:r>
              <w:rPr>
                <w:rFonts w:hint="eastAsia"/>
                <w:highlight w:val="none"/>
                <w:lang w:val="en-US" w:eastAsia="zh-CN"/>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13" w:type="dxa"/>
            <w:gridSpan w:val="7"/>
          </w:tcPr>
          <w:p>
            <w:pPr>
              <w:pStyle w:val="23"/>
              <w:bidi w:val="0"/>
              <w:rPr>
                <w:rFonts w:hint="default"/>
                <w:highlight w:val="none"/>
                <w:lang w:val="en-US" w:eastAsia="zh-CN"/>
              </w:rPr>
            </w:pPr>
            <w:r>
              <w:rPr>
                <w:rFonts w:hint="eastAsia"/>
                <w:highlight w:val="none"/>
                <w:lang w:val="en-US" w:eastAsia="zh-CN"/>
              </w:rPr>
              <w:t>单位地址：</w:t>
            </w:r>
          </w:p>
        </w:tc>
        <w:tc>
          <w:tcPr>
            <w:tcW w:w="4894" w:type="dxa"/>
            <w:gridSpan w:val="8"/>
          </w:tcPr>
          <w:p>
            <w:pPr>
              <w:pStyle w:val="23"/>
              <w:bidi w:val="0"/>
              <w:rPr>
                <w:rFonts w:hint="default"/>
                <w:highlight w:val="none"/>
                <w:lang w:val="en-US" w:eastAsia="zh-CN"/>
              </w:rPr>
            </w:pPr>
            <w:r>
              <w:rPr>
                <w:rFonts w:hint="eastAsia"/>
                <w:highlight w:val="none"/>
                <w:lang w:val="en-US" w:eastAsia="zh-CN"/>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07" w:type="dxa"/>
            <w:gridSpan w:val="15"/>
          </w:tcPr>
          <w:p>
            <w:pPr>
              <w:pStyle w:val="23"/>
              <w:bidi w:val="0"/>
              <w:rPr>
                <w:rFonts w:hint="default"/>
                <w:highlight w:val="none"/>
                <w:lang w:val="en-US" w:eastAsia="zh-CN"/>
              </w:rPr>
            </w:pPr>
            <w:r>
              <w:rPr>
                <w:rFonts w:hint="eastAsia"/>
                <w:highlight w:val="none"/>
                <w:lang w:val="en-US" w:eastAsia="zh-CN"/>
              </w:rPr>
              <w:t>第二承运单位信息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13" w:type="dxa"/>
            <w:gridSpan w:val="7"/>
            <w:vAlign w:val="top"/>
          </w:tcPr>
          <w:p>
            <w:pPr>
              <w:pStyle w:val="23"/>
              <w:bidi w:val="0"/>
              <w:ind w:firstLine="0" w:firstLineChars="0"/>
              <w:rPr>
                <w:rFonts w:hint="eastAsia"/>
                <w:highlight w:val="none"/>
                <w:lang w:val="en-US" w:eastAsia="zh-CN"/>
              </w:rPr>
            </w:pPr>
            <w:r>
              <w:rPr>
                <w:rFonts w:hint="eastAsia"/>
                <w:highlight w:val="none"/>
                <w:lang w:val="en-US" w:eastAsia="zh-CN"/>
              </w:rPr>
              <w:t>单位名称：</w:t>
            </w:r>
          </w:p>
        </w:tc>
        <w:tc>
          <w:tcPr>
            <w:tcW w:w="4894" w:type="dxa"/>
            <w:gridSpan w:val="8"/>
            <w:vAlign w:val="top"/>
          </w:tcPr>
          <w:p>
            <w:pPr>
              <w:pStyle w:val="23"/>
              <w:bidi w:val="0"/>
              <w:ind w:firstLine="0" w:firstLineChars="0"/>
              <w:rPr>
                <w:rFonts w:hint="eastAsia"/>
                <w:highlight w:val="none"/>
                <w:lang w:val="en-US" w:eastAsia="zh-CN"/>
              </w:rPr>
            </w:pPr>
            <w:r>
              <w:rPr>
                <w:rFonts w:hint="eastAsia"/>
                <w:highlight w:val="none"/>
                <w:lang w:val="en-US" w:eastAsia="zh-CN"/>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13" w:type="dxa"/>
            <w:gridSpan w:val="7"/>
            <w:vAlign w:val="top"/>
          </w:tcPr>
          <w:p>
            <w:pPr>
              <w:pStyle w:val="23"/>
              <w:bidi w:val="0"/>
              <w:ind w:firstLine="0" w:firstLineChars="0"/>
              <w:rPr>
                <w:rFonts w:hint="eastAsia"/>
                <w:highlight w:val="none"/>
                <w:lang w:val="en-US" w:eastAsia="zh-CN"/>
              </w:rPr>
            </w:pPr>
            <w:r>
              <w:rPr>
                <w:rFonts w:hint="eastAsia"/>
                <w:highlight w:val="none"/>
                <w:lang w:val="en-US" w:eastAsia="zh-CN"/>
              </w:rPr>
              <w:t>单位地址：</w:t>
            </w:r>
          </w:p>
        </w:tc>
        <w:tc>
          <w:tcPr>
            <w:tcW w:w="4894" w:type="dxa"/>
            <w:gridSpan w:val="8"/>
            <w:vAlign w:val="top"/>
          </w:tcPr>
          <w:p>
            <w:pPr>
              <w:pStyle w:val="23"/>
              <w:bidi w:val="0"/>
              <w:ind w:firstLine="0" w:firstLineChars="0"/>
              <w:rPr>
                <w:rFonts w:hint="eastAsia"/>
                <w:highlight w:val="none"/>
                <w:lang w:val="en-US" w:eastAsia="zh-CN"/>
              </w:rPr>
            </w:pPr>
            <w:r>
              <w:rPr>
                <w:rFonts w:hint="eastAsia"/>
                <w:highlight w:val="none"/>
                <w:lang w:val="en-US" w:eastAsia="zh-CN"/>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tcPr>
          <w:p>
            <w:pPr>
              <w:pStyle w:val="23"/>
              <w:bidi w:val="0"/>
              <w:jc w:val="center"/>
              <w:rPr>
                <w:rFonts w:hint="default"/>
                <w:highlight w:val="none"/>
                <w:lang w:val="en-US" w:eastAsia="zh-CN"/>
              </w:rPr>
            </w:pPr>
            <w:r>
              <w:rPr>
                <w:rFonts w:hint="eastAsia"/>
                <w:highlight w:val="none"/>
                <w:lang w:val="en-US" w:eastAsia="zh-CN"/>
              </w:rPr>
              <w:t>序号</w:t>
            </w:r>
          </w:p>
        </w:tc>
        <w:tc>
          <w:tcPr>
            <w:tcW w:w="1820" w:type="dxa"/>
            <w:gridSpan w:val="2"/>
          </w:tcPr>
          <w:p>
            <w:pPr>
              <w:pStyle w:val="23"/>
              <w:bidi w:val="0"/>
              <w:jc w:val="center"/>
              <w:rPr>
                <w:rFonts w:hint="default"/>
                <w:highlight w:val="none"/>
                <w:lang w:val="en-US" w:eastAsia="zh-CN"/>
              </w:rPr>
            </w:pPr>
            <w:r>
              <w:rPr>
                <w:rFonts w:hint="eastAsia"/>
                <w:highlight w:val="none"/>
                <w:lang w:val="en-US" w:eastAsia="zh-CN"/>
              </w:rPr>
              <w:t>承运人（运输司机）</w:t>
            </w:r>
          </w:p>
        </w:tc>
        <w:tc>
          <w:tcPr>
            <w:tcW w:w="1312" w:type="dxa"/>
            <w:gridSpan w:val="3"/>
          </w:tcPr>
          <w:p>
            <w:pPr>
              <w:pStyle w:val="23"/>
              <w:bidi w:val="0"/>
              <w:jc w:val="center"/>
              <w:rPr>
                <w:rFonts w:hint="default"/>
                <w:highlight w:val="none"/>
                <w:lang w:val="en-US" w:eastAsia="zh-CN"/>
              </w:rPr>
            </w:pPr>
            <w:r>
              <w:rPr>
                <w:rFonts w:hint="eastAsia"/>
                <w:highlight w:val="none"/>
                <w:lang w:val="en-US" w:eastAsia="zh-CN"/>
              </w:rPr>
              <w:t>联系电话</w:t>
            </w:r>
          </w:p>
        </w:tc>
        <w:tc>
          <w:tcPr>
            <w:tcW w:w="1184" w:type="dxa"/>
            <w:gridSpan w:val="2"/>
          </w:tcPr>
          <w:p>
            <w:pPr>
              <w:pStyle w:val="23"/>
              <w:bidi w:val="0"/>
              <w:jc w:val="center"/>
              <w:rPr>
                <w:rFonts w:hint="default"/>
                <w:highlight w:val="none"/>
                <w:lang w:val="en-US" w:eastAsia="zh-CN"/>
              </w:rPr>
            </w:pPr>
            <w:r>
              <w:rPr>
                <w:rFonts w:hint="eastAsia"/>
                <w:highlight w:val="none"/>
                <w:lang w:val="en-US" w:eastAsia="zh-CN"/>
              </w:rPr>
              <w:t>牌号</w:t>
            </w:r>
          </w:p>
        </w:tc>
        <w:tc>
          <w:tcPr>
            <w:tcW w:w="1107" w:type="dxa"/>
            <w:gridSpan w:val="3"/>
          </w:tcPr>
          <w:p>
            <w:pPr>
              <w:pStyle w:val="23"/>
              <w:bidi w:val="0"/>
              <w:jc w:val="center"/>
              <w:rPr>
                <w:rFonts w:hint="default"/>
                <w:highlight w:val="none"/>
                <w:lang w:val="en-US" w:eastAsia="zh-CN"/>
              </w:rPr>
            </w:pPr>
            <w:r>
              <w:rPr>
                <w:rFonts w:hint="eastAsia"/>
                <w:highlight w:val="none"/>
                <w:lang w:val="en-US" w:eastAsia="zh-CN"/>
              </w:rPr>
              <w:t>运输工具</w:t>
            </w:r>
          </w:p>
        </w:tc>
        <w:tc>
          <w:tcPr>
            <w:tcW w:w="1525" w:type="dxa"/>
            <w:gridSpan w:val="2"/>
          </w:tcPr>
          <w:p>
            <w:pPr>
              <w:pStyle w:val="23"/>
              <w:bidi w:val="0"/>
              <w:jc w:val="center"/>
              <w:rPr>
                <w:rFonts w:hint="default"/>
                <w:highlight w:val="none"/>
                <w:lang w:val="en-US" w:eastAsia="zh-CN"/>
              </w:rPr>
            </w:pPr>
            <w:r>
              <w:rPr>
                <w:rFonts w:hint="eastAsia"/>
                <w:highlight w:val="none"/>
                <w:lang w:val="en-US" w:eastAsia="zh-CN"/>
              </w:rPr>
              <w:t>实际起运地点与时间</w:t>
            </w:r>
          </w:p>
        </w:tc>
        <w:tc>
          <w:tcPr>
            <w:tcW w:w="1443" w:type="dxa"/>
            <w:gridSpan w:val="2"/>
          </w:tcPr>
          <w:p>
            <w:pPr>
              <w:pStyle w:val="23"/>
              <w:bidi w:val="0"/>
              <w:jc w:val="center"/>
              <w:rPr>
                <w:rFonts w:hint="default"/>
                <w:highlight w:val="none"/>
                <w:lang w:val="en-US" w:eastAsia="zh-CN"/>
              </w:rPr>
            </w:pPr>
            <w:r>
              <w:rPr>
                <w:rFonts w:hint="eastAsia"/>
                <w:highlight w:val="none"/>
                <w:lang w:val="en-US" w:eastAsia="zh-CN"/>
              </w:rPr>
              <w:t>实际到达地点与时间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tcPr>
          <w:p>
            <w:pPr>
              <w:pStyle w:val="23"/>
              <w:bidi w:val="0"/>
              <w:rPr>
                <w:rFonts w:hint="eastAsia"/>
                <w:highlight w:val="none"/>
                <w:lang w:val="en-US" w:eastAsia="zh-CN"/>
              </w:rPr>
            </w:pPr>
          </w:p>
        </w:tc>
        <w:tc>
          <w:tcPr>
            <w:tcW w:w="1820" w:type="dxa"/>
            <w:gridSpan w:val="2"/>
          </w:tcPr>
          <w:p>
            <w:pPr>
              <w:pStyle w:val="23"/>
              <w:bidi w:val="0"/>
              <w:rPr>
                <w:rFonts w:hint="eastAsia"/>
                <w:highlight w:val="none"/>
                <w:lang w:val="en-US" w:eastAsia="zh-CN"/>
              </w:rPr>
            </w:pPr>
          </w:p>
        </w:tc>
        <w:tc>
          <w:tcPr>
            <w:tcW w:w="1312" w:type="dxa"/>
            <w:gridSpan w:val="3"/>
          </w:tcPr>
          <w:p>
            <w:pPr>
              <w:pStyle w:val="23"/>
              <w:bidi w:val="0"/>
              <w:rPr>
                <w:rFonts w:hint="eastAsia"/>
                <w:highlight w:val="none"/>
                <w:lang w:val="en-US" w:eastAsia="zh-CN"/>
              </w:rPr>
            </w:pPr>
          </w:p>
        </w:tc>
        <w:tc>
          <w:tcPr>
            <w:tcW w:w="1184" w:type="dxa"/>
            <w:gridSpan w:val="2"/>
          </w:tcPr>
          <w:p>
            <w:pPr>
              <w:pStyle w:val="23"/>
              <w:bidi w:val="0"/>
              <w:rPr>
                <w:rFonts w:hint="eastAsia"/>
                <w:highlight w:val="none"/>
                <w:lang w:val="en-US" w:eastAsia="zh-CN"/>
              </w:rPr>
            </w:pPr>
          </w:p>
        </w:tc>
        <w:tc>
          <w:tcPr>
            <w:tcW w:w="1107" w:type="dxa"/>
            <w:gridSpan w:val="3"/>
          </w:tcPr>
          <w:p>
            <w:pPr>
              <w:pStyle w:val="23"/>
              <w:bidi w:val="0"/>
              <w:rPr>
                <w:rFonts w:hint="eastAsia"/>
                <w:highlight w:val="none"/>
                <w:lang w:val="en-US" w:eastAsia="zh-CN"/>
              </w:rPr>
            </w:pPr>
          </w:p>
        </w:tc>
        <w:tc>
          <w:tcPr>
            <w:tcW w:w="1525" w:type="dxa"/>
            <w:gridSpan w:val="2"/>
          </w:tcPr>
          <w:p>
            <w:pPr>
              <w:pStyle w:val="23"/>
              <w:bidi w:val="0"/>
              <w:rPr>
                <w:rFonts w:hint="eastAsia"/>
                <w:highlight w:val="none"/>
                <w:lang w:val="en-US" w:eastAsia="zh-CN"/>
              </w:rPr>
            </w:pPr>
          </w:p>
        </w:tc>
        <w:tc>
          <w:tcPr>
            <w:tcW w:w="1443" w:type="dxa"/>
            <w:gridSpan w:val="2"/>
          </w:tcPr>
          <w:p>
            <w:pPr>
              <w:pStyle w:val="23"/>
              <w:bidi w:val="0"/>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tcPr>
          <w:p>
            <w:pPr>
              <w:pStyle w:val="23"/>
              <w:bidi w:val="0"/>
              <w:rPr>
                <w:rFonts w:hint="eastAsia"/>
                <w:highlight w:val="none"/>
                <w:lang w:val="en-US" w:eastAsia="zh-CN"/>
              </w:rPr>
            </w:pPr>
          </w:p>
        </w:tc>
        <w:tc>
          <w:tcPr>
            <w:tcW w:w="1820" w:type="dxa"/>
            <w:gridSpan w:val="2"/>
          </w:tcPr>
          <w:p>
            <w:pPr>
              <w:pStyle w:val="23"/>
              <w:bidi w:val="0"/>
              <w:rPr>
                <w:rFonts w:hint="eastAsia"/>
                <w:highlight w:val="none"/>
                <w:lang w:val="en-US" w:eastAsia="zh-CN"/>
              </w:rPr>
            </w:pPr>
          </w:p>
        </w:tc>
        <w:tc>
          <w:tcPr>
            <w:tcW w:w="1312" w:type="dxa"/>
            <w:gridSpan w:val="3"/>
          </w:tcPr>
          <w:p>
            <w:pPr>
              <w:pStyle w:val="23"/>
              <w:bidi w:val="0"/>
              <w:rPr>
                <w:rFonts w:hint="eastAsia"/>
                <w:highlight w:val="none"/>
                <w:lang w:val="en-US" w:eastAsia="zh-CN"/>
              </w:rPr>
            </w:pPr>
          </w:p>
        </w:tc>
        <w:tc>
          <w:tcPr>
            <w:tcW w:w="1184" w:type="dxa"/>
            <w:gridSpan w:val="2"/>
          </w:tcPr>
          <w:p>
            <w:pPr>
              <w:pStyle w:val="23"/>
              <w:bidi w:val="0"/>
              <w:rPr>
                <w:rFonts w:hint="eastAsia"/>
                <w:highlight w:val="none"/>
                <w:lang w:val="en-US" w:eastAsia="zh-CN"/>
              </w:rPr>
            </w:pPr>
          </w:p>
        </w:tc>
        <w:tc>
          <w:tcPr>
            <w:tcW w:w="1107" w:type="dxa"/>
            <w:gridSpan w:val="3"/>
          </w:tcPr>
          <w:p>
            <w:pPr>
              <w:pStyle w:val="23"/>
              <w:bidi w:val="0"/>
              <w:rPr>
                <w:rFonts w:hint="eastAsia"/>
                <w:highlight w:val="none"/>
                <w:lang w:val="en-US" w:eastAsia="zh-CN"/>
              </w:rPr>
            </w:pPr>
          </w:p>
        </w:tc>
        <w:tc>
          <w:tcPr>
            <w:tcW w:w="1525" w:type="dxa"/>
            <w:gridSpan w:val="2"/>
          </w:tcPr>
          <w:p>
            <w:pPr>
              <w:pStyle w:val="23"/>
              <w:bidi w:val="0"/>
              <w:rPr>
                <w:rFonts w:hint="eastAsia"/>
                <w:highlight w:val="none"/>
                <w:lang w:val="en-US" w:eastAsia="zh-CN"/>
              </w:rPr>
            </w:pPr>
          </w:p>
        </w:tc>
        <w:tc>
          <w:tcPr>
            <w:tcW w:w="1443" w:type="dxa"/>
            <w:gridSpan w:val="2"/>
          </w:tcPr>
          <w:p>
            <w:pPr>
              <w:pStyle w:val="23"/>
              <w:bidi w:val="0"/>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07" w:type="dxa"/>
            <w:gridSpan w:val="15"/>
          </w:tcPr>
          <w:p>
            <w:pPr>
              <w:pStyle w:val="23"/>
              <w:bidi w:val="0"/>
              <w:rPr>
                <w:rFonts w:hint="default"/>
                <w:highlight w:val="none"/>
                <w:lang w:val="en-US" w:eastAsia="zh-CN"/>
              </w:rPr>
            </w:pPr>
            <w:r>
              <w:rPr>
                <w:rFonts w:hint="eastAsia" w:ascii="黑体" w:hAnsi="黑体" w:eastAsia="黑体" w:cs="黑体"/>
                <w:highlight w:val="none"/>
                <w:lang w:val="en-US" w:eastAsia="zh-CN"/>
              </w:rPr>
              <w:t>第三部分：废物接收信息（由接收人填写）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13" w:type="dxa"/>
            <w:gridSpan w:val="7"/>
          </w:tcPr>
          <w:p>
            <w:pPr>
              <w:pStyle w:val="23"/>
              <w:bidi w:val="0"/>
              <w:rPr>
                <w:rFonts w:hint="default"/>
                <w:highlight w:val="none"/>
                <w:lang w:val="en-US" w:eastAsia="zh-CN"/>
              </w:rPr>
            </w:pPr>
            <w:r>
              <w:rPr>
                <w:rFonts w:hint="eastAsia"/>
                <w:highlight w:val="none"/>
                <w:lang w:val="en-US" w:eastAsia="zh-CN"/>
              </w:rPr>
              <w:t>单位名称：</w:t>
            </w:r>
          </w:p>
        </w:tc>
        <w:tc>
          <w:tcPr>
            <w:tcW w:w="4894" w:type="dxa"/>
            <w:gridSpan w:val="8"/>
          </w:tcPr>
          <w:p>
            <w:pPr>
              <w:pStyle w:val="23"/>
              <w:bidi w:val="0"/>
              <w:rPr>
                <w:rFonts w:hint="default"/>
                <w:highlight w:val="none"/>
                <w:lang w:val="en-US" w:eastAsia="zh-CN"/>
              </w:rPr>
            </w:pPr>
            <w:r>
              <w:rPr>
                <w:rFonts w:hint="eastAsia"/>
                <w:highlight w:val="none"/>
                <w:lang w:val="en-US" w:eastAsia="zh-CN"/>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13" w:type="dxa"/>
            <w:gridSpan w:val="7"/>
          </w:tcPr>
          <w:p>
            <w:pPr>
              <w:pStyle w:val="23"/>
              <w:bidi w:val="0"/>
              <w:rPr>
                <w:rFonts w:hint="default"/>
                <w:highlight w:val="none"/>
                <w:lang w:val="en-US" w:eastAsia="zh-CN"/>
              </w:rPr>
            </w:pPr>
            <w:r>
              <w:rPr>
                <w:rFonts w:hint="eastAsia"/>
                <w:highlight w:val="none"/>
                <w:lang w:val="en-US" w:eastAsia="zh-CN"/>
              </w:rPr>
              <w:t>单位地址：</w:t>
            </w:r>
          </w:p>
        </w:tc>
        <w:tc>
          <w:tcPr>
            <w:tcW w:w="4894" w:type="dxa"/>
            <w:gridSpan w:val="8"/>
          </w:tcPr>
          <w:p>
            <w:pPr>
              <w:pStyle w:val="23"/>
              <w:bidi w:val="0"/>
              <w:rPr>
                <w:rFonts w:hint="default"/>
                <w:highlight w:val="none"/>
                <w:lang w:val="en-US" w:eastAsia="zh-CN"/>
              </w:rPr>
            </w:pPr>
            <w:r>
              <w:rPr>
                <w:rFonts w:hint="eastAsia"/>
                <w:highlight w:val="none"/>
                <w:lang w:val="en-US" w:eastAsia="zh-CN"/>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07" w:type="dxa"/>
            <w:gridSpan w:val="15"/>
          </w:tcPr>
          <w:p>
            <w:pPr>
              <w:pStyle w:val="23"/>
              <w:bidi w:val="0"/>
              <w:rPr>
                <w:rFonts w:hint="eastAsia"/>
                <w:highlight w:val="none"/>
                <w:lang w:val="en-US" w:eastAsia="zh-CN"/>
              </w:rPr>
            </w:pPr>
            <w:r>
              <w:rPr>
                <w:rFonts w:hint="eastAsia"/>
                <w:highlight w:val="none"/>
                <w:lang w:val="en-US" w:eastAsia="zh-CN"/>
              </w:rPr>
              <w:t>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4" w:type="dxa"/>
            <w:gridSpan w:val="2"/>
          </w:tcPr>
          <w:p>
            <w:pPr>
              <w:pStyle w:val="23"/>
              <w:bidi w:val="0"/>
              <w:rPr>
                <w:rFonts w:hint="default"/>
                <w:highlight w:val="none"/>
                <w:lang w:val="en-US" w:eastAsia="zh-CN"/>
              </w:rPr>
            </w:pPr>
            <w:r>
              <w:rPr>
                <w:rFonts w:hint="eastAsia"/>
                <w:highlight w:val="none"/>
                <w:lang w:val="en-US" w:eastAsia="zh-CN"/>
              </w:rPr>
              <w:t>经办人：</w:t>
            </w:r>
          </w:p>
        </w:tc>
        <w:tc>
          <w:tcPr>
            <w:tcW w:w="2219" w:type="dxa"/>
            <w:gridSpan w:val="5"/>
          </w:tcPr>
          <w:p>
            <w:pPr>
              <w:pStyle w:val="23"/>
              <w:bidi w:val="0"/>
              <w:rPr>
                <w:rFonts w:hint="default"/>
                <w:highlight w:val="none"/>
                <w:lang w:val="en-US" w:eastAsia="zh-CN"/>
              </w:rPr>
            </w:pPr>
            <w:r>
              <w:rPr>
                <w:rFonts w:hint="eastAsia"/>
                <w:highlight w:val="none"/>
                <w:lang w:val="en-US" w:eastAsia="zh-CN"/>
              </w:rPr>
              <w:t>联系电话：</w:t>
            </w:r>
          </w:p>
        </w:tc>
        <w:tc>
          <w:tcPr>
            <w:tcW w:w="4894" w:type="dxa"/>
            <w:gridSpan w:val="8"/>
          </w:tcPr>
          <w:p>
            <w:pPr>
              <w:pStyle w:val="23"/>
              <w:bidi w:val="0"/>
              <w:rPr>
                <w:rFonts w:hint="eastAsia"/>
                <w:highlight w:val="none"/>
                <w:lang w:val="en-US" w:eastAsia="zh-CN"/>
              </w:rPr>
            </w:pPr>
            <w:r>
              <w:rPr>
                <w:rFonts w:hint="eastAsia"/>
                <w:highlight w:val="none"/>
                <w:lang w:val="en-US" w:eastAsia="zh-CN"/>
              </w:rPr>
              <w:t>接收时间：</w:t>
            </w:r>
            <w:r>
              <w:rPr>
                <w:rFonts w:hint="eastAsia"/>
                <w:highlight w:val="none"/>
              </w:rPr>
              <w:t xml:space="preserve">    </w:t>
            </w:r>
            <w:r>
              <w:rPr>
                <w:highlight w:val="none"/>
              </w:rPr>
              <w:t xml:space="preserve">年 </w:t>
            </w:r>
            <w:r>
              <w:rPr>
                <w:rFonts w:hint="eastAsia"/>
                <w:highlight w:val="none"/>
              </w:rPr>
              <w:t xml:space="preserve"> </w:t>
            </w:r>
            <w:r>
              <w:rPr>
                <w:highlight w:val="none"/>
              </w:rPr>
              <w:t xml:space="preserve">月 </w:t>
            </w:r>
            <w:r>
              <w:rPr>
                <w:rFonts w:hint="eastAsia"/>
                <w:highlight w:val="none"/>
              </w:rPr>
              <w:t xml:space="preserve"> </w:t>
            </w:r>
            <w:r>
              <w:rPr>
                <w:highlight w:val="none"/>
              </w:rPr>
              <w:t>日</w:t>
            </w:r>
            <w:r>
              <w:rPr>
                <w:rFonts w:hint="eastAsia"/>
                <w:highlight w:val="none"/>
              </w:rPr>
              <w:t xml:space="preserve">  时  </w:t>
            </w:r>
            <w:r>
              <w:rPr>
                <w:rFonts w:hint="eastAsia"/>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tcPr>
          <w:p>
            <w:pPr>
              <w:pStyle w:val="23"/>
              <w:bidi w:val="0"/>
              <w:jc w:val="center"/>
              <w:rPr>
                <w:rFonts w:hint="default"/>
                <w:highlight w:val="none"/>
                <w:lang w:val="en-US" w:eastAsia="zh-CN"/>
              </w:rPr>
            </w:pPr>
            <w:r>
              <w:rPr>
                <w:rFonts w:hint="eastAsia"/>
                <w:highlight w:val="none"/>
                <w:lang w:val="en-US" w:eastAsia="zh-CN"/>
              </w:rPr>
              <w:t>序号</w:t>
            </w:r>
          </w:p>
        </w:tc>
        <w:tc>
          <w:tcPr>
            <w:tcW w:w="1278" w:type="dxa"/>
          </w:tcPr>
          <w:p>
            <w:pPr>
              <w:pStyle w:val="23"/>
              <w:bidi w:val="0"/>
              <w:jc w:val="center"/>
              <w:rPr>
                <w:rFonts w:hint="default"/>
                <w:highlight w:val="none"/>
                <w:lang w:val="en-US" w:eastAsia="zh-CN"/>
              </w:rPr>
            </w:pPr>
            <w:r>
              <w:rPr>
                <w:rFonts w:hint="eastAsia"/>
                <w:highlight w:val="none"/>
                <w:lang w:val="en-US" w:eastAsia="zh-CN"/>
              </w:rPr>
              <w:t>废物名称</w:t>
            </w:r>
          </w:p>
        </w:tc>
        <w:tc>
          <w:tcPr>
            <w:tcW w:w="1366" w:type="dxa"/>
            <w:gridSpan w:val="3"/>
          </w:tcPr>
          <w:p>
            <w:pPr>
              <w:pStyle w:val="23"/>
              <w:bidi w:val="0"/>
              <w:jc w:val="center"/>
              <w:rPr>
                <w:rFonts w:hint="default"/>
                <w:highlight w:val="none"/>
                <w:lang w:val="en-US" w:eastAsia="zh-CN"/>
              </w:rPr>
            </w:pPr>
            <w:r>
              <w:rPr>
                <w:rFonts w:hint="eastAsia"/>
                <w:highlight w:val="none"/>
                <w:lang w:val="en-US" w:eastAsia="zh-CN"/>
              </w:rPr>
              <w:t>废物代码</w:t>
            </w:r>
          </w:p>
        </w:tc>
        <w:tc>
          <w:tcPr>
            <w:tcW w:w="853" w:type="dxa"/>
            <w:gridSpan w:val="2"/>
          </w:tcPr>
          <w:p>
            <w:pPr>
              <w:pStyle w:val="23"/>
              <w:bidi w:val="0"/>
              <w:jc w:val="center"/>
              <w:rPr>
                <w:rFonts w:hint="default"/>
                <w:highlight w:val="none"/>
                <w:lang w:val="en-US" w:eastAsia="zh-CN"/>
              </w:rPr>
            </w:pPr>
            <w:r>
              <w:rPr>
                <w:rFonts w:hint="eastAsia"/>
                <w:highlight w:val="none"/>
                <w:lang w:val="en-US" w:eastAsia="zh-CN"/>
              </w:rPr>
              <w:t>是否存在重大差异</w:t>
            </w:r>
          </w:p>
        </w:tc>
        <w:tc>
          <w:tcPr>
            <w:tcW w:w="1692" w:type="dxa"/>
            <w:gridSpan w:val="3"/>
          </w:tcPr>
          <w:p>
            <w:pPr>
              <w:pStyle w:val="23"/>
              <w:bidi w:val="0"/>
              <w:jc w:val="center"/>
              <w:rPr>
                <w:rFonts w:hint="default"/>
                <w:highlight w:val="none"/>
                <w:lang w:val="en-US" w:eastAsia="zh-CN"/>
              </w:rPr>
            </w:pPr>
            <w:r>
              <w:rPr>
                <w:rFonts w:hint="eastAsia"/>
                <w:highlight w:val="none"/>
                <w:lang w:val="en-US" w:eastAsia="zh-CN"/>
              </w:rPr>
              <w:t>接收意见</w:t>
            </w:r>
          </w:p>
        </w:tc>
        <w:tc>
          <w:tcPr>
            <w:tcW w:w="1759" w:type="dxa"/>
            <w:gridSpan w:val="3"/>
          </w:tcPr>
          <w:p>
            <w:pPr>
              <w:pStyle w:val="23"/>
              <w:bidi w:val="0"/>
              <w:jc w:val="center"/>
              <w:rPr>
                <w:rFonts w:hint="default"/>
                <w:highlight w:val="none"/>
                <w:lang w:val="en-US" w:eastAsia="zh-CN"/>
              </w:rPr>
            </w:pPr>
            <w:r>
              <w:rPr>
                <w:rFonts w:hint="eastAsia"/>
                <w:highlight w:val="none"/>
                <w:lang w:val="en-US" w:eastAsia="zh-CN"/>
              </w:rPr>
              <w:t>拟利用处置方式</w:t>
            </w:r>
          </w:p>
        </w:tc>
        <w:tc>
          <w:tcPr>
            <w:tcW w:w="1443" w:type="dxa"/>
            <w:gridSpan w:val="2"/>
          </w:tcPr>
          <w:p>
            <w:pPr>
              <w:pStyle w:val="23"/>
              <w:bidi w:val="0"/>
              <w:jc w:val="center"/>
              <w:rPr>
                <w:rFonts w:hint="default"/>
                <w:highlight w:val="none"/>
                <w:lang w:val="en-US" w:eastAsia="zh-CN"/>
              </w:rPr>
            </w:pPr>
            <w:r>
              <w:rPr>
                <w:rFonts w:hint="eastAsia"/>
                <w:highlight w:val="none"/>
                <w:lang w:val="en-US" w:eastAsia="zh-CN"/>
              </w:rPr>
              <w:t>确认接收量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tcPr>
          <w:p>
            <w:pPr>
              <w:pStyle w:val="23"/>
              <w:bidi w:val="0"/>
              <w:rPr>
                <w:rFonts w:hint="eastAsia"/>
                <w:highlight w:val="none"/>
                <w:lang w:val="en-US" w:eastAsia="zh-CN"/>
              </w:rPr>
            </w:pPr>
          </w:p>
        </w:tc>
        <w:tc>
          <w:tcPr>
            <w:tcW w:w="1278" w:type="dxa"/>
          </w:tcPr>
          <w:p>
            <w:pPr>
              <w:pStyle w:val="23"/>
              <w:bidi w:val="0"/>
              <w:rPr>
                <w:rFonts w:hint="eastAsia"/>
                <w:highlight w:val="none"/>
                <w:lang w:val="en-US" w:eastAsia="zh-CN"/>
              </w:rPr>
            </w:pPr>
          </w:p>
        </w:tc>
        <w:tc>
          <w:tcPr>
            <w:tcW w:w="1366" w:type="dxa"/>
            <w:gridSpan w:val="3"/>
          </w:tcPr>
          <w:p>
            <w:pPr>
              <w:pStyle w:val="23"/>
              <w:bidi w:val="0"/>
              <w:rPr>
                <w:rFonts w:hint="eastAsia"/>
                <w:highlight w:val="none"/>
                <w:lang w:val="en-US" w:eastAsia="zh-CN"/>
              </w:rPr>
            </w:pPr>
          </w:p>
        </w:tc>
        <w:tc>
          <w:tcPr>
            <w:tcW w:w="853" w:type="dxa"/>
            <w:gridSpan w:val="2"/>
          </w:tcPr>
          <w:p>
            <w:pPr>
              <w:pStyle w:val="23"/>
              <w:bidi w:val="0"/>
              <w:rPr>
                <w:rFonts w:hint="eastAsia"/>
                <w:highlight w:val="none"/>
                <w:lang w:val="en-US" w:eastAsia="zh-CN"/>
              </w:rPr>
            </w:pPr>
          </w:p>
        </w:tc>
        <w:tc>
          <w:tcPr>
            <w:tcW w:w="1692" w:type="dxa"/>
            <w:gridSpan w:val="3"/>
          </w:tcPr>
          <w:p>
            <w:pPr>
              <w:pStyle w:val="23"/>
              <w:bidi w:val="0"/>
              <w:rPr>
                <w:rFonts w:hint="eastAsia"/>
                <w:highlight w:val="none"/>
                <w:lang w:val="en-US" w:eastAsia="zh-CN"/>
              </w:rPr>
            </w:pPr>
          </w:p>
        </w:tc>
        <w:tc>
          <w:tcPr>
            <w:tcW w:w="1759" w:type="dxa"/>
            <w:gridSpan w:val="3"/>
          </w:tcPr>
          <w:p>
            <w:pPr>
              <w:pStyle w:val="23"/>
              <w:bidi w:val="0"/>
              <w:rPr>
                <w:rFonts w:hint="eastAsia"/>
                <w:highlight w:val="none"/>
                <w:lang w:val="en-US" w:eastAsia="zh-CN"/>
              </w:rPr>
            </w:pPr>
          </w:p>
        </w:tc>
        <w:tc>
          <w:tcPr>
            <w:tcW w:w="1443" w:type="dxa"/>
            <w:gridSpan w:val="2"/>
          </w:tcPr>
          <w:p>
            <w:pPr>
              <w:pStyle w:val="23"/>
              <w:bidi w:val="0"/>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6" w:type="dxa"/>
          </w:tcPr>
          <w:p>
            <w:pPr>
              <w:pStyle w:val="23"/>
              <w:bidi w:val="0"/>
              <w:rPr>
                <w:rFonts w:hint="eastAsia"/>
                <w:highlight w:val="none"/>
                <w:lang w:val="en-US" w:eastAsia="zh-CN"/>
              </w:rPr>
            </w:pPr>
          </w:p>
        </w:tc>
        <w:tc>
          <w:tcPr>
            <w:tcW w:w="1278" w:type="dxa"/>
          </w:tcPr>
          <w:p>
            <w:pPr>
              <w:pStyle w:val="23"/>
              <w:bidi w:val="0"/>
              <w:rPr>
                <w:rFonts w:hint="eastAsia"/>
                <w:highlight w:val="none"/>
                <w:lang w:val="en-US" w:eastAsia="zh-CN"/>
              </w:rPr>
            </w:pPr>
          </w:p>
        </w:tc>
        <w:tc>
          <w:tcPr>
            <w:tcW w:w="1366" w:type="dxa"/>
            <w:gridSpan w:val="3"/>
          </w:tcPr>
          <w:p>
            <w:pPr>
              <w:pStyle w:val="23"/>
              <w:bidi w:val="0"/>
              <w:rPr>
                <w:rFonts w:hint="eastAsia"/>
                <w:highlight w:val="none"/>
                <w:lang w:val="en-US" w:eastAsia="zh-CN"/>
              </w:rPr>
            </w:pPr>
          </w:p>
        </w:tc>
        <w:tc>
          <w:tcPr>
            <w:tcW w:w="853" w:type="dxa"/>
            <w:gridSpan w:val="2"/>
          </w:tcPr>
          <w:p>
            <w:pPr>
              <w:pStyle w:val="23"/>
              <w:bidi w:val="0"/>
              <w:rPr>
                <w:rFonts w:hint="eastAsia"/>
                <w:highlight w:val="none"/>
                <w:lang w:val="en-US" w:eastAsia="zh-CN"/>
              </w:rPr>
            </w:pPr>
          </w:p>
        </w:tc>
        <w:tc>
          <w:tcPr>
            <w:tcW w:w="1692" w:type="dxa"/>
            <w:gridSpan w:val="3"/>
          </w:tcPr>
          <w:p>
            <w:pPr>
              <w:pStyle w:val="23"/>
              <w:bidi w:val="0"/>
              <w:rPr>
                <w:rFonts w:hint="eastAsia"/>
                <w:highlight w:val="none"/>
                <w:lang w:val="en-US" w:eastAsia="zh-CN"/>
              </w:rPr>
            </w:pPr>
          </w:p>
        </w:tc>
        <w:tc>
          <w:tcPr>
            <w:tcW w:w="1759" w:type="dxa"/>
            <w:gridSpan w:val="3"/>
          </w:tcPr>
          <w:p>
            <w:pPr>
              <w:pStyle w:val="23"/>
              <w:bidi w:val="0"/>
              <w:rPr>
                <w:rFonts w:hint="eastAsia"/>
                <w:highlight w:val="none"/>
                <w:lang w:val="en-US" w:eastAsia="zh-CN"/>
              </w:rPr>
            </w:pPr>
          </w:p>
        </w:tc>
        <w:tc>
          <w:tcPr>
            <w:tcW w:w="1443" w:type="dxa"/>
            <w:gridSpan w:val="2"/>
          </w:tcPr>
          <w:p>
            <w:pPr>
              <w:pStyle w:val="23"/>
              <w:bidi w:val="0"/>
              <w:rPr>
                <w:rFonts w:hint="eastAsia"/>
                <w:highlight w:val="none"/>
                <w:lang w:val="en-US" w:eastAsia="zh-CN"/>
              </w:rPr>
            </w:pPr>
          </w:p>
        </w:tc>
      </w:tr>
    </w:tbl>
    <w:p>
      <w:pPr>
        <w:pStyle w:val="21"/>
        <w:keepNext w:val="0"/>
        <w:keepLines w:val="0"/>
        <w:pageBreakBefore w:val="0"/>
        <w:widowControl w:val="0"/>
        <w:kinsoku/>
        <w:wordWrap/>
        <w:overflowPunct/>
        <w:topLinePunct w:val="0"/>
        <w:autoSpaceDE/>
        <w:autoSpaceDN/>
        <w:bidi w:val="0"/>
        <w:adjustRightInd/>
        <w:snapToGrid/>
        <w:textAlignment w:val="auto"/>
        <w:rPr>
          <w:rFonts w:hint="default"/>
          <w:highlight w:val="none"/>
          <w:lang w:val="en-US" w:eastAsia="zh-CN"/>
        </w:rPr>
      </w:pPr>
    </w:p>
    <w:sectPr>
      <w:pgSz w:w="11906" w:h="16838"/>
      <w:pgMar w:top="1077" w:right="1020" w:bottom="1077" w:left="1020" w:header="851" w:footer="992" w:gutter="0"/>
      <w:pgNumType w:fmt="numberInDash"/>
      <w:cols w:space="0" w:num="1"/>
      <w:rtlGutter w:val="0"/>
      <w:docGrid w:type="lines" w:linePitch="63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445895" cy="3536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45895" cy="3536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85pt;width:113.85pt;mso-position-horizontal:outside;mso-position-horizontal-relative:margin;z-index:251659264;mso-width-relative:page;mso-height-relative:page;" filled="f" stroked="f" coordsize="21600,21600" o:gfxdata="UEsDBAoAAAAAAIdO4kAAAAAAAAAAAAAAAAAEAAAAZHJzL1BLAwQUAAAACACHTuJASTxK4tQAAAAE&#10;AQAADwAAAGRycy9kb3ducmV2LnhtbE2PO0/EMBCEeyT+g7VIdJyTSEdQiHMFj47XHSBB58RLEmGv&#10;I3uTO/49hgaalUYzmvm23hycFQuGOHpSkK8yEEidNyP1Cl6eb88uQETWZLT1hAq+MMKmOT6qdWX8&#10;nra47LgXqYRipRUMzFMlZewGdDqu/ISUvA8fnOYkQy9N0PtU7qwssuxcOj1SWhj0hFcDdp+72Smw&#10;bzHctRm/L9f9PT89yvn1Jn9Q6vQkzy5BMB74Lww/+AkdmsTU+plMFFZBeoR/b/KKoixBtArW6xJk&#10;U8v/8M03UEsDBBQAAAAIAIdO4kDjjCwENgIAAGIEAAAOAAAAZHJzL2Uyb0RvYy54bWytVMuO0zAU&#10;3SPxD5b3NO10Wg1R01GZqgipYkYqiLXrOI0l29fYTpPyAfAHrNiw57v6HVzn0UEDi1mwcU98n+fc&#10;6y5uG63IUTgvwWR0MhpTIgyHXJpDRj9+2Ly6ocQHZnKmwIiMnoSnt8uXLxa1TcUVlKBy4QgmMT6t&#10;bUbLEGyaJJ6XQjM/AisMGgtwmgX8dIckd6zG7FolV+PxPKnB5dYBF97j7boz0j6je05CKArJxRp4&#10;pYUJXVYnFAtIyZfSerpsuy0KwcN9UXgRiMooMg3tiUUQ7+OZLBcsPThmS8n7FthzWnjCSTNpsOgl&#10;1ZoFRion/0qlJXfgoQgjDjrpiLSKIIvJ+Ik2u5JZ0XJBqb29iO7/X1r+/vjgiMxxEygxTOPAz9+/&#10;nX/8Ov/8SiZRntr6FL12Fv1C8waa6Nrfe7yMrJvC6fiLfAjaUdzTRVzRBMJj0PX17Ob1jBKOtuls&#10;OkeMaZLHaOt8eCtAkwgy6nB4rabsuPWhcx1cYjEDG6kU3rNUGVJndD6djduAiwWTK4M1Ioeu14hC&#10;s296AnvIT8jLQbcY3vKNxOJb5sMDc7gJSAXfSrjHo1CARaBHlJTgvvzrPvrjgNBKSY2blVH/uWJO&#10;UKLeGRxdXMMBuAHsB2AqfQe4rDgO7KaFGOCCGmDhQH/CJ7SKVdDEDMdaGQ0DvAvdfuMT5GK1ap0q&#10;6+Sh7AJw8SwLW7OzPJbppFxVAQrZqhwl6nTplcPVa+fUP5O4239+t16Pfw3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k8SuLUAAAABAEAAA8AAAAAAAAAAQAgAAAAIgAAAGRycy9kb3ducmV2Lnht&#10;bFBLAQIUABQAAAAIAIdO4kDjjCwENgIAAGIEAAAOAAAAAAAAAAEAIAAAACMBAABkcnMvZTJvRG9j&#10;LnhtbFBLBQYAAAAABgAGAFkBAADLBQAAAAA=&#10;">
              <v:fill on="f" focussize="0,0"/>
              <v:stroke on="f" weight="0.5pt"/>
              <v:imagedata o:title=""/>
              <o:lock v:ext="edit" aspectratio="f"/>
              <v:textbox inset="0mm,0mm,0mm,0mm">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E8DEB"/>
    <w:multiLevelType w:val="multilevel"/>
    <w:tmpl w:val="DCDE8DEB"/>
    <w:lvl w:ilvl="0" w:tentative="0">
      <w:start w:val="1"/>
      <w:numFmt w:val="chineseCounting"/>
      <w:pStyle w:val="2"/>
      <w:suff w:val="nothing"/>
      <w:lvlText w:val="%1、"/>
      <w:lvlJc w:val="left"/>
      <w:pPr>
        <w:ind w:left="0" w:firstLine="0"/>
      </w:pPr>
      <w:rPr>
        <w:rFonts w:hint="eastAsia" w:ascii="Times New Roman" w:hAnsi="Times New Roman" w:eastAsia="黑体"/>
        <w:sz w:val="32"/>
        <w:szCs w:val="32"/>
      </w:rPr>
    </w:lvl>
    <w:lvl w:ilvl="1" w:tentative="0">
      <w:start w:val="1"/>
      <w:numFmt w:val="chineseCounting"/>
      <w:pStyle w:val="3"/>
      <w:suff w:val="nothing"/>
      <w:lvlText w:val="（%2）"/>
      <w:lvlJc w:val="left"/>
      <w:pPr>
        <w:tabs>
          <w:tab w:val="left" w:pos="0"/>
        </w:tabs>
        <w:ind w:left="0" w:firstLine="0"/>
      </w:pPr>
      <w:rPr>
        <w:rFonts w:hint="eastAsia" w:ascii="Times New Roman" w:hAnsi="Times New Roman" w:eastAsia="楷体_GB2312"/>
        <w:sz w:val="32"/>
        <w:szCs w:val="32"/>
      </w:rPr>
    </w:lvl>
    <w:lvl w:ilvl="2" w:tentative="0">
      <w:start w:val="1"/>
      <w:numFmt w:val="decimal"/>
      <w:pStyle w:val="4"/>
      <w:suff w:val="nothing"/>
      <w:lvlText w:val="%3．"/>
      <w:lvlJc w:val="left"/>
      <w:pPr>
        <w:ind w:left="0" w:firstLine="400"/>
      </w:pPr>
      <w:rPr>
        <w:rFonts w:hint="eastAsia" w:ascii="Times New Roman" w:hAnsi="Times New Roman" w:eastAsia="仿宋_GB2312"/>
        <w:sz w:val="32"/>
        <w:szCs w:val="32"/>
      </w:rPr>
    </w:lvl>
    <w:lvl w:ilvl="3" w:tentative="0">
      <w:start w:val="1"/>
      <w:numFmt w:val="decimal"/>
      <w:pStyle w:val="5"/>
      <w:suff w:val="nothing"/>
      <w:lvlText w:val="（%4）"/>
      <w:lvlJc w:val="left"/>
      <w:pPr>
        <w:tabs>
          <w:tab w:val="left" w:pos="0"/>
        </w:tabs>
        <w:ind w:left="0" w:firstLine="402"/>
      </w:pPr>
      <w:rPr>
        <w:rFonts w:hint="eastAsia" w:ascii="Times New Roman" w:hAnsi="Times New Roman" w:eastAsia="仿宋_GB2312"/>
        <w:sz w:val="32"/>
        <w:szCs w:val="32"/>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31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M2Y5NzdmZDUyNjYwMDk1MzgyNjlmNDAwYjZhZGIifQ=="/>
  </w:docVars>
  <w:rsids>
    <w:rsidRoot w:val="51A66B3C"/>
    <w:rsid w:val="005759FF"/>
    <w:rsid w:val="010F74B9"/>
    <w:rsid w:val="012B2D4F"/>
    <w:rsid w:val="07761296"/>
    <w:rsid w:val="08D61DE3"/>
    <w:rsid w:val="08F31FA8"/>
    <w:rsid w:val="0A5709D1"/>
    <w:rsid w:val="0FEB5787"/>
    <w:rsid w:val="10FE7942"/>
    <w:rsid w:val="1166090F"/>
    <w:rsid w:val="14AB7AA7"/>
    <w:rsid w:val="152C7DE7"/>
    <w:rsid w:val="17843763"/>
    <w:rsid w:val="18824272"/>
    <w:rsid w:val="1ACB48A9"/>
    <w:rsid w:val="1E987C7B"/>
    <w:rsid w:val="1F3E4F00"/>
    <w:rsid w:val="21A76EDD"/>
    <w:rsid w:val="220C5F01"/>
    <w:rsid w:val="230F7E04"/>
    <w:rsid w:val="240D772A"/>
    <w:rsid w:val="25AE66E1"/>
    <w:rsid w:val="28E40D3F"/>
    <w:rsid w:val="28FA2669"/>
    <w:rsid w:val="2CC50C65"/>
    <w:rsid w:val="2E693D2B"/>
    <w:rsid w:val="30CF5860"/>
    <w:rsid w:val="313C7219"/>
    <w:rsid w:val="33534609"/>
    <w:rsid w:val="3A343A92"/>
    <w:rsid w:val="3BE154D4"/>
    <w:rsid w:val="3C9618B6"/>
    <w:rsid w:val="3D36268C"/>
    <w:rsid w:val="409D2216"/>
    <w:rsid w:val="4134460A"/>
    <w:rsid w:val="417E0245"/>
    <w:rsid w:val="41E24414"/>
    <w:rsid w:val="44142CB0"/>
    <w:rsid w:val="4508522F"/>
    <w:rsid w:val="45280B96"/>
    <w:rsid w:val="48EE4403"/>
    <w:rsid w:val="4DA5326F"/>
    <w:rsid w:val="51A357A6"/>
    <w:rsid w:val="51A66B3C"/>
    <w:rsid w:val="51F007B3"/>
    <w:rsid w:val="52F55539"/>
    <w:rsid w:val="56CA64BC"/>
    <w:rsid w:val="5DFA1BBA"/>
    <w:rsid w:val="5F6D4136"/>
    <w:rsid w:val="5FF70EEF"/>
    <w:rsid w:val="6553585B"/>
    <w:rsid w:val="664257B5"/>
    <w:rsid w:val="6A556A06"/>
    <w:rsid w:val="6B154ACA"/>
    <w:rsid w:val="6B600F40"/>
    <w:rsid w:val="6C530F02"/>
    <w:rsid w:val="6C8109D3"/>
    <w:rsid w:val="6D1146C5"/>
    <w:rsid w:val="74282FEA"/>
    <w:rsid w:val="79D13E19"/>
    <w:rsid w:val="7A606678"/>
    <w:rsid w:val="7C7A6994"/>
    <w:rsid w:val="7CD76B4B"/>
    <w:rsid w:val="7FDD2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80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90" w:lineRule="exact"/>
      <w:ind w:firstLine="0" w:firstLineChars="0"/>
      <w:jc w:val="center"/>
      <w:outlineLvl w:val="0"/>
    </w:pPr>
    <w:rPr>
      <w:rFonts w:ascii="Times New Roman" w:hAnsi="Times New Roman" w:eastAsia="黑体"/>
      <w:b/>
      <w:kern w:val="44"/>
    </w:rPr>
  </w:style>
  <w:style w:type="paragraph" w:styleId="3">
    <w:name w:val="heading 2"/>
    <w:basedOn w:val="1"/>
    <w:next w:val="1"/>
    <w:unhideWhenUsed/>
    <w:qFormat/>
    <w:uiPriority w:val="0"/>
    <w:pPr>
      <w:keepNext w:val="0"/>
      <w:keepLines/>
      <w:numPr>
        <w:ilvl w:val="1"/>
        <w:numId w:val="1"/>
      </w:numPr>
      <w:spacing w:beforeLines="0" w:beforeAutospacing="0" w:afterLines="0" w:afterAutospacing="0" w:line="590" w:lineRule="exact"/>
      <w:ind w:firstLine="880" w:firstLineChars="200"/>
      <w:outlineLvl w:val="1"/>
    </w:pPr>
    <w:rPr>
      <w:rFonts w:ascii="Times New Roman" w:hAnsi="Times New Roman" w:eastAsia="楷体_GB2312"/>
      <w:b/>
    </w:rPr>
  </w:style>
  <w:style w:type="paragraph" w:styleId="4">
    <w:name w:val="heading 3"/>
    <w:basedOn w:val="1"/>
    <w:next w:val="1"/>
    <w:unhideWhenUsed/>
    <w:qFormat/>
    <w:uiPriority w:val="0"/>
    <w:pPr>
      <w:keepNext/>
      <w:keepLines/>
      <w:numPr>
        <w:ilvl w:val="2"/>
        <w:numId w:val="1"/>
      </w:numPr>
      <w:spacing w:beforeLines="0" w:beforeAutospacing="0" w:afterLines="0" w:afterAutospacing="0" w:line="590" w:lineRule="exact"/>
      <w:ind w:firstLine="403" w:firstLineChars="0"/>
      <w:outlineLvl w:val="2"/>
    </w:pPr>
    <w:rPr>
      <w:b/>
    </w:rPr>
  </w:style>
  <w:style w:type="paragraph" w:styleId="5">
    <w:name w:val="heading 4"/>
    <w:basedOn w:val="1"/>
    <w:next w:val="1"/>
    <w:unhideWhenUsed/>
    <w:qFormat/>
    <w:uiPriority w:val="0"/>
    <w:pPr>
      <w:keepNext/>
      <w:keepLines/>
      <w:numPr>
        <w:ilvl w:val="3"/>
        <w:numId w:val="1"/>
      </w:numPr>
      <w:spacing w:beforeLines="0" w:beforeAutospacing="0" w:afterLines="0" w:afterAutospacing="0" w:line="590" w:lineRule="exact"/>
      <w:ind w:firstLine="0" w:firstLineChars="0"/>
      <w:outlineLvl w:val="3"/>
    </w:pPr>
    <w:rPr>
      <w:b/>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2"/>
    <w:next w:val="1"/>
    <w:qFormat/>
    <w:uiPriority w:val="0"/>
    <w:pPr>
      <w:widowControl w:val="0"/>
      <w:tabs>
        <w:tab w:val="right" w:leader="dot" w:pos="8296"/>
      </w:tabs>
      <w:spacing w:line="400" w:lineRule="exact"/>
      <w:ind w:firstLine="600" w:firstLineChars="200"/>
      <w:jc w:val="both"/>
    </w:pPr>
    <w:rPr>
      <w:rFonts w:ascii="Times New Roman" w:hAnsi="Times New Roman" w:eastAsia="仿宋" w:cs="Times New Roman"/>
      <w:kern w:val="2"/>
      <w:sz w:val="28"/>
      <w:szCs w:val="28"/>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文件大标题"/>
    <w:basedOn w:val="1"/>
    <w:qFormat/>
    <w:uiPriority w:val="0"/>
    <w:pPr>
      <w:spacing w:line="560" w:lineRule="exact"/>
      <w:ind w:firstLine="0" w:firstLineChars="0"/>
      <w:jc w:val="center"/>
    </w:pPr>
    <w:rPr>
      <w:rFonts w:eastAsia="方正小标宋简体"/>
      <w:sz w:val="44"/>
    </w:rPr>
  </w:style>
  <w:style w:type="paragraph" w:customStyle="1" w:styleId="19">
    <w:name w:val="附表标题"/>
    <w:basedOn w:val="1"/>
    <w:qFormat/>
    <w:uiPriority w:val="0"/>
    <w:pPr>
      <w:ind w:firstLine="0" w:firstLineChars="0"/>
      <w:jc w:val="center"/>
      <w:outlineLvl w:val="3"/>
    </w:pPr>
    <w:rPr>
      <w:rFonts w:ascii="方正小标宋简体" w:hAnsi="方正小标宋简体" w:eastAsia="方正小标宋简体"/>
    </w:rPr>
  </w:style>
  <w:style w:type="paragraph" w:customStyle="1" w:styleId="20">
    <w:name w:val="附件"/>
    <w:basedOn w:val="1"/>
    <w:qFormat/>
    <w:uiPriority w:val="0"/>
    <w:pPr>
      <w:ind w:firstLine="0" w:firstLineChars="0"/>
    </w:pPr>
    <w:rPr>
      <w:rFonts w:ascii="黑体" w:hAnsi="黑体" w:eastAsia="黑体"/>
    </w:rPr>
  </w:style>
  <w:style w:type="paragraph" w:customStyle="1" w:styleId="21">
    <w:name w:val="备注"/>
    <w:basedOn w:val="1"/>
    <w:qFormat/>
    <w:uiPriority w:val="0"/>
    <w:pPr>
      <w:spacing w:line="500" w:lineRule="exact"/>
      <w:ind w:firstLine="0" w:firstLineChars="0"/>
      <w:jc w:val="both"/>
      <w:outlineLvl w:val="3"/>
    </w:pPr>
    <w:rPr>
      <w:rFonts w:eastAsia="楷体_GB2312"/>
      <w:sz w:val="21"/>
    </w:rPr>
  </w:style>
  <w:style w:type="paragraph" w:customStyle="1" w:styleId="22">
    <w:name w:val="表格表头"/>
    <w:basedOn w:val="1"/>
    <w:qFormat/>
    <w:uiPriority w:val="0"/>
    <w:pPr>
      <w:spacing w:line="360" w:lineRule="exact"/>
      <w:ind w:firstLine="0" w:firstLineChars="0"/>
      <w:jc w:val="center"/>
      <w:outlineLvl w:val="3"/>
    </w:pPr>
    <w:rPr>
      <w:rFonts w:eastAsia="黑体" w:cs="黑体"/>
      <w:sz w:val="24"/>
    </w:rPr>
  </w:style>
  <w:style w:type="paragraph" w:customStyle="1" w:styleId="23">
    <w:name w:val="表格内容"/>
    <w:basedOn w:val="1"/>
    <w:qFormat/>
    <w:uiPriority w:val="0"/>
    <w:pPr>
      <w:spacing w:line="360" w:lineRule="exact"/>
      <w:ind w:firstLine="0" w:firstLineChars="0"/>
      <w:jc w:val="left"/>
      <w:outlineLvl w:val="3"/>
    </w:pPr>
    <w:rPr>
      <w:rFonts w:ascii="Times New Roman" w:hAnsi="Times New Roman" w:eastAsia="宋体" w:cs="仿宋_GB2312"/>
      <w:sz w:val="24"/>
    </w:rPr>
  </w:style>
  <w:style w:type="paragraph" w:customStyle="1" w:styleId="24">
    <w:name w:val="图标标题"/>
    <w:basedOn w:val="1"/>
    <w:qFormat/>
    <w:uiPriority w:val="0"/>
    <w:pPr>
      <w:ind w:firstLine="0" w:firstLineChars="0"/>
      <w:jc w:val="center"/>
      <w:outlineLvl w:val="3"/>
    </w:pPr>
    <w:rPr>
      <w:rFonts w:hint="default" w:ascii="Times New Roman" w:hAnsi="Times New Roman" w:eastAsia="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2202</Words>
  <Characters>2205</Characters>
  <Lines>0</Lines>
  <Paragraphs>0</Paragraphs>
  <TotalTime>5</TotalTime>
  <ScaleCrop>false</ScaleCrop>
  <LinksUpToDate>false</LinksUpToDate>
  <CharactersWithSpaces>2211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2024-01-10T08:54:00Z</dcterms:created>
  <dc:creator>WPS_315548875</dc:creator>
  <cp:lastModifiedBy>袁素芬</cp:lastModifiedBy>
  <dcterms:modified xsi:type="dcterms:W3CDTF">2024-02-29T07:54:46Z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C8F4088707344E51A7572C59EF470FB4</vt:lpwstr>
  </property>
</Properties>
</file>