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仿宋_GB2312" w:hAnsi="仿宋_GB2312" w:eastAsia="仿宋_GB2312" w:cs="仿宋_GB2312"/>
          <w:b/>
          <w:bCs/>
          <w:color w:val="auto"/>
          <w:sz w:val="48"/>
          <w:szCs w:val="4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48"/>
          <w:szCs w:val="48"/>
          <w:highlight w:val="none"/>
        </w:rPr>
        <w:t>中山智慧环保</w:t>
      </w:r>
      <w:r>
        <w:rPr>
          <w:rFonts w:hint="eastAsia" w:ascii="仿宋_GB2312" w:hAnsi="仿宋_GB2312" w:eastAsia="仿宋_GB2312" w:cs="仿宋_GB2312"/>
          <w:b/>
          <w:bCs/>
          <w:color w:val="auto"/>
          <w:sz w:val="48"/>
          <w:szCs w:val="48"/>
          <w:highlight w:val="none"/>
          <w:lang w:val="en-US" w:eastAsia="zh-CN"/>
        </w:rPr>
        <w:t>平台</w:t>
      </w:r>
    </w:p>
    <w:p>
      <w:pPr>
        <w:jc w:val="center"/>
        <w:rPr>
          <w:rFonts w:hint="eastAsia" w:ascii="仿宋_GB2312" w:hAnsi="仿宋_GB2312" w:eastAsia="仿宋_GB2312" w:cs="仿宋_GB2312"/>
          <w:b/>
          <w:bCs/>
          <w:color w:val="auto"/>
          <w:sz w:val="48"/>
          <w:szCs w:val="48"/>
          <w:highlight w:val="none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48"/>
          <w:szCs w:val="48"/>
          <w:highlight w:val="none"/>
          <w:lang w:val="en-US" w:eastAsia="zh-CN"/>
        </w:rPr>
        <w:t>企业端</w:t>
      </w:r>
      <w:r>
        <w:rPr>
          <w:rFonts w:hint="eastAsia" w:ascii="仿宋_GB2312" w:hAnsi="仿宋_GB2312" w:eastAsia="仿宋_GB2312" w:cs="仿宋_GB2312"/>
          <w:b/>
          <w:bCs/>
          <w:color w:val="auto"/>
          <w:sz w:val="48"/>
          <w:szCs w:val="48"/>
          <w:highlight w:val="none"/>
        </w:rPr>
        <w:t>用户操作手册</w:t>
      </w:r>
    </w:p>
    <w:p>
      <w:pPr>
        <w:jc w:val="center"/>
        <w:rPr>
          <w:rFonts w:hint="eastAsia" w:ascii="仿宋_GB2312" w:hAnsi="仿宋_GB2312" w:eastAsia="仿宋_GB2312" w:cs="仿宋_GB2312"/>
          <w:b/>
          <w:bCs/>
          <w:color w:val="auto"/>
          <w:sz w:val="48"/>
          <w:szCs w:val="48"/>
          <w:highlight w:val="none"/>
          <w:lang w:val="en-US" w:eastAsia="zh-CN"/>
        </w:rPr>
      </w:pPr>
    </w:p>
    <w:p>
      <w:pPr>
        <w:jc w:val="center"/>
        <w:rPr>
          <w:rFonts w:hint="eastAsia" w:ascii="仿宋_GB2312" w:hAnsi="仿宋_GB2312" w:eastAsia="仿宋_GB2312" w:cs="仿宋_GB2312"/>
          <w:b/>
          <w:bCs/>
          <w:color w:val="auto"/>
          <w:sz w:val="48"/>
          <w:szCs w:val="48"/>
          <w:highlight w:val="none"/>
          <w:lang w:val="en-US" w:eastAsia="zh-CN"/>
        </w:rPr>
      </w:pPr>
    </w:p>
    <w:p>
      <w:pPr>
        <w:jc w:val="center"/>
        <w:rPr>
          <w:rFonts w:hint="eastAsia" w:ascii="仿宋_GB2312" w:hAnsi="仿宋_GB2312" w:eastAsia="仿宋_GB2312" w:cs="仿宋_GB2312"/>
          <w:b/>
          <w:bCs/>
          <w:color w:val="auto"/>
          <w:sz w:val="40"/>
          <w:szCs w:val="40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40"/>
          <w:szCs w:val="40"/>
          <w:highlight w:val="none"/>
          <w:lang w:val="en-US" w:eastAsia="zh-CN"/>
        </w:rPr>
        <w:t>（污染源自动监控设备工单</w:t>
      </w:r>
    </w:p>
    <w:p>
      <w:pPr>
        <w:jc w:val="center"/>
        <w:rPr>
          <w:rFonts w:hint="eastAsia" w:ascii="仿宋_GB2312" w:hAnsi="仿宋_GB2312" w:eastAsia="仿宋_GB2312" w:cs="仿宋_GB2312"/>
          <w:b/>
          <w:bCs/>
          <w:color w:val="auto"/>
          <w:sz w:val="40"/>
          <w:szCs w:val="40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40"/>
          <w:szCs w:val="40"/>
          <w:highlight w:val="none"/>
          <w:lang w:val="en-US" w:eastAsia="zh-CN"/>
        </w:rPr>
        <w:t>申请审批操作指引V1.1）</w:t>
      </w:r>
    </w:p>
    <w:p>
      <w:pPr>
        <w:jc w:val="center"/>
        <w:rPr>
          <w:rFonts w:hint="eastAsia" w:ascii="仿宋_GB2312" w:hAnsi="仿宋_GB2312" w:eastAsia="仿宋_GB2312" w:cs="仿宋_GB2312"/>
          <w:b/>
          <w:bCs/>
          <w:color w:val="auto"/>
          <w:sz w:val="48"/>
          <w:szCs w:val="48"/>
          <w:highlight w:val="none"/>
          <w:lang w:val="en-US" w:eastAsia="zh-CN"/>
        </w:rPr>
      </w:pPr>
    </w:p>
    <w:p>
      <w:pPr>
        <w:jc w:val="center"/>
        <w:rPr>
          <w:rFonts w:hint="eastAsia" w:ascii="仿宋_GB2312" w:hAnsi="仿宋_GB2312" w:eastAsia="仿宋_GB2312" w:cs="仿宋_GB2312"/>
          <w:b/>
          <w:bCs/>
          <w:color w:val="auto"/>
          <w:sz w:val="48"/>
          <w:szCs w:val="48"/>
          <w:highlight w:val="none"/>
          <w:lang w:val="en-US" w:eastAsia="zh-CN"/>
        </w:rPr>
      </w:pPr>
    </w:p>
    <w:p>
      <w:pPr>
        <w:jc w:val="center"/>
        <w:rPr>
          <w:rFonts w:hint="eastAsia" w:ascii="仿宋_GB2312" w:hAnsi="仿宋_GB2312" w:eastAsia="仿宋_GB2312" w:cs="仿宋_GB2312"/>
          <w:b/>
          <w:bCs/>
          <w:color w:val="auto"/>
          <w:sz w:val="40"/>
          <w:szCs w:val="40"/>
          <w:highlight w:val="none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</w:p>
    <w:p>
      <w:pPr>
        <w:pStyle w:val="2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</w:p>
    <w:p>
      <w:pP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</w:p>
    <w:p>
      <w:pPr>
        <w:pStyle w:val="2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</w:p>
    <w:p>
      <w:pPr>
        <w:pStyle w:val="2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</w:p>
    <w:p>
      <w:pPr>
        <w:pStyle w:val="2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</w:p>
    <w:p>
      <w:pPr>
        <w:pStyle w:val="2"/>
        <w:ind w:left="0" w:leftChars="0" w:firstLine="0" w:firstLineChars="0"/>
        <w:jc w:val="center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中山市生态环境局</w:t>
      </w:r>
    </w:p>
    <w:p>
      <w:pPr>
        <w:pStyle w:val="2"/>
        <w:ind w:left="0" w:leftChars="0" w:firstLine="0" w:firstLineChars="0"/>
        <w:jc w:val="center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2024年7月5日</w:t>
      </w:r>
    </w:p>
    <w:p>
      <w:pPr>
        <w:pStyle w:val="2"/>
        <w:ind w:left="0" w:leftChars="0" w:firstLine="0" w:firstLineChars="0"/>
        <w:jc w:val="center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</w:p>
    <w:p>
      <w:pPr>
        <w:pStyle w:val="2"/>
        <w:ind w:left="0" w:leftChars="0" w:firstLine="0" w:firstLineChars="0"/>
        <w:jc w:val="center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sectPr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</w:p>
    <w:p>
      <w:pPr>
        <w:pStyle w:val="10"/>
        <w:tabs>
          <w:tab w:val="right" w:leader="dot" w:pos="8306"/>
        </w:tabs>
        <w:jc w:val="center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目录</w:t>
      </w:r>
    </w:p>
    <w:p>
      <w:pPr>
        <w:pStyle w:val="10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instrText xml:space="preserve">TOC \o "1-3" \h \u </w:instrTex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_Toc17476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1</w:t>
      </w:r>
      <w:r>
        <w:rPr>
          <w:rFonts w:hint="eastAsia" w:ascii="仿宋_GB2312" w:hAnsi="仿宋_GB2312" w:eastAsia="仿宋_GB2312" w:cs="仿宋_GB2312"/>
          <w:kern w:val="44"/>
          <w:sz w:val="32"/>
          <w:szCs w:val="32"/>
          <w:lang w:val="en-US" w:eastAsia="zh-CN" w:bidi="ar-SA"/>
        </w:rPr>
        <w:t xml:space="preserve"> 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引言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_Toc17476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kern w:val="44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11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_Toc26231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目的与范围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_Toc26231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10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_Toc20236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</w:t>
      </w:r>
      <w:r>
        <w:rPr>
          <w:rFonts w:hint="eastAsia" w:ascii="仿宋_GB2312" w:hAnsi="仿宋_GB2312" w:eastAsia="仿宋_GB2312" w:cs="仿宋_GB2312"/>
          <w:kern w:val="44"/>
          <w:sz w:val="32"/>
          <w:szCs w:val="32"/>
          <w:lang w:val="en-US" w:eastAsia="zh-CN" w:bidi="ar-SA"/>
        </w:rPr>
        <w:t xml:space="preserve"> 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t>平台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登录说明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_Toc20236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color w:val="auto"/>
          <w:kern w:val="44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11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_Toc23858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2.1 PC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t>企业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端登录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_Toc23858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11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_Toc31425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2.2 移动端APP“企环通”登录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_Toc31425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4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11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_Toc11002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2.3 微信小程序“中易办”登录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_Toc11002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6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8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_Toc7376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</w:t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lang w:val="en-US" w:eastAsia="zh-CN" w:bidi="ar-SA"/>
        </w:rPr>
        <w:t xml:space="preserve">.3.1 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中易办入口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_Toc7376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6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8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_Toc10304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2</w:t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lang w:val="en-US" w:eastAsia="zh-CN" w:bidi="ar-SA"/>
        </w:rPr>
        <w:t xml:space="preserve">.3.2 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中易办用户登录说明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_Toc10304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7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10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_Toc27081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</w:t>
      </w:r>
      <w:r>
        <w:rPr>
          <w:rFonts w:hint="eastAsia" w:ascii="仿宋_GB2312" w:hAnsi="仿宋_GB2312" w:eastAsia="仿宋_GB2312" w:cs="仿宋_GB2312"/>
          <w:kern w:val="44"/>
          <w:sz w:val="32"/>
          <w:szCs w:val="32"/>
          <w:lang w:val="en-US" w:eastAsia="zh-CN" w:bidi="ar-SA"/>
        </w:rPr>
        <w:t xml:space="preserve"> 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设备工单申请审批操作说明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_Toc27081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9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kern w:val="44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11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_Toc9615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3.1 PC企业端操作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_Toc9615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9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8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_Toc11594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</w:t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lang w:val="en-US" w:eastAsia="zh-CN" w:bidi="ar-SA"/>
        </w:rPr>
        <w:t xml:space="preserve">.1.1 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设备管理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_Toc11594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9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8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_Toc28773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</w:t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lang w:val="en-US" w:eastAsia="zh-CN" w:bidi="ar-SA"/>
        </w:rPr>
        <w:t xml:space="preserve">.1.2 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消息通知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_Toc28773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11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11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_Toc13793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3.2 移动端“企环通”操作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_Toc13793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12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8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_Toc8182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</w:t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lang w:val="en-US" w:eastAsia="zh-Hans" w:bidi="ar-SA"/>
        </w:rPr>
        <w:t xml:space="preserve">.2.1 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Hans" w:bidi="ar-SA"/>
        </w:rPr>
        <w:t>自动监测设备维修、停用、拆除或更换审批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_Toc8182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12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highlight w:val="none"/>
          <w:lang w:val="en-US" w:eastAsia="zh-Hans" w:bidi="ar-SA"/>
        </w:rPr>
        <w:fldChar w:fldCharType="end"/>
      </w:r>
    </w:p>
    <w:p>
      <w:pPr>
        <w:pStyle w:val="8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_Toc15692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</w:t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lang w:val="en-US" w:eastAsia="zh-CN" w:bidi="ar-SA"/>
        </w:rPr>
        <w:t xml:space="preserve">.2.2 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t>智信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_Toc15692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16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bCs/>
          <w:color w:val="auto"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8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_Toc28922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3</w:t>
      </w:r>
      <w:r>
        <w:rPr>
          <w:rFonts w:hint="eastAsia" w:ascii="仿宋_GB2312" w:hAnsi="仿宋_GB2312" w:eastAsia="仿宋_GB2312" w:cs="仿宋_GB2312"/>
          <w:bCs/>
          <w:kern w:val="2"/>
          <w:sz w:val="32"/>
          <w:szCs w:val="32"/>
          <w:lang w:val="en-US" w:eastAsia="zh-CN" w:bidi="ar-SA"/>
        </w:rPr>
        <w:t xml:space="preserve">.2.3 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t>智办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_Toc28922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16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bCs/>
          <w:color w:val="auto"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11"/>
        <w:tabs>
          <w:tab w:val="right" w:leader="dot" w:pos="8306"/>
        </w:tabs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instrText xml:space="preserve"> HYPERLINK \l _Toc6028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 xml:space="preserve">3.3 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t>微信小程序“中易办”操作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nstrText xml:space="preserve"> PAGEREF _Toc6028 </w:instrTex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t>17</w:t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2"/>
        <w:rPr>
          <w:rFonts w:hint="eastAsia" w:ascii="Calibri" w:hAnsi="Times New Roman" w:eastAsia="宋体" w:cs="Times New Roman"/>
          <w:szCs w:val="21"/>
          <w:highlight w:val="none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kern w:val="2"/>
          <w:sz w:val="32"/>
          <w:szCs w:val="32"/>
          <w:highlight w:val="none"/>
          <w:lang w:val="en-US" w:eastAsia="zh-CN" w:bidi="ar-SA"/>
        </w:rPr>
        <w:fldChar w:fldCharType="end"/>
      </w:r>
    </w:p>
    <w:p>
      <w:pPr>
        <w:pStyle w:val="2"/>
        <w:ind w:left="0" w:leftChars="0" w:firstLine="0" w:firstLineChars="0"/>
        <w:rPr>
          <w:rFonts w:hint="eastAsia" w:ascii="Calibri" w:hAnsi="Times New Roman" w:eastAsia="宋体" w:cs="Times New Roman"/>
          <w:szCs w:val="21"/>
          <w:highlight w:val="none"/>
          <w:lang w:val="en-US" w:eastAsia="zh-CN" w:bidi="ar-SA"/>
        </w:rPr>
      </w:pPr>
    </w:p>
    <w:p>
      <w:pPr>
        <w:pStyle w:val="4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25" w:leftChars="0" w:right="0" w:rightChars="0" w:hanging="425" w:firstLineChars="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  <w:pPrChange w:id="0" w:author="黄圳" w:date="2023-07-27T09:13:04Z">
          <w:pPr>
            <w:pStyle w:val="4"/>
            <w:pageBreakBefore w:val="0"/>
            <w:widowControl w:val="0"/>
            <w:numPr>
              <w:ilvl w:val="0"/>
              <w:numId w:val="2"/>
            </w:numPr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after="0" w:line="360" w:lineRule="auto"/>
            <w:ind w:left="425" w:leftChars="0" w:right="0" w:rightChars="0" w:hanging="425" w:firstLineChars="0"/>
            <w:jc w:val="both"/>
            <w:textAlignment w:val="auto"/>
          </w:pPr>
        </w:pPrChange>
      </w:pPr>
      <w:bookmarkStart w:id="0" w:name="_Toc98270586"/>
    </w:p>
    <w:p>
      <w:pPr>
        <w:pStyle w:val="4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25" w:leftChars="0" w:right="0" w:rightChars="0" w:hanging="425" w:firstLineChars="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bookmarkStart w:id="1" w:name="_Toc17476"/>
      <w:r>
        <w:rPr>
          <w:rFonts w:hint="eastAsia" w:ascii="仿宋_GB2312" w:hAnsi="仿宋_GB2312" w:eastAsia="仿宋_GB2312" w:cs="仿宋_GB2312"/>
          <w:sz w:val="32"/>
          <w:szCs w:val="32"/>
        </w:rPr>
        <w:t>引言</w:t>
      </w:r>
      <w:bookmarkEnd w:id="0"/>
      <w:bookmarkEnd w:id="1"/>
    </w:p>
    <w:p>
      <w:pPr>
        <w:pStyle w:val="5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bookmarkStart w:id="2" w:name="_Toc395496610"/>
      <w:bookmarkStart w:id="3" w:name="_Toc1298496376"/>
      <w:bookmarkStart w:id="4" w:name="_Toc68309127_WPSOffice_Level2"/>
      <w:bookmarkStart w:id="5" w:name="_Toc98270587"/>
      <w:bookmarkStart w:id="6" w:name="_Toc26231"/>
      <w:r>
        <w:rPr>
          <w:rFonts w:hint="eastAsia" w:ascii="仿宋_GB2312" w:hAnsi="仿宋_GB2312" w:eastAsia="仿宋_GB2312" w:cs="仿宋_GB2312"/>
          <w:sz w:val="32"/>
          <w:szCs w:val="32"/>
        </w:rPr>
        <w:t>目的与范围</w:t>
      </w:r>
      <w:bookmarkEnd w:id="2"/>
      <w:bookmarkEnd w:id="3"/>
      <w:bookmarkEnd w:id="4"/>
      <w:bookmarkEnd w:id="5"/>
      <w:bookmarkEnd w:id="6"/>
    </w:p>
    <w:p>
      <w:pPr>
        <w:pStyle w:val="17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rPr>
          <w:rFonts w:hint="eastAsia" w:ascii="仿宋_GB2312" w:hAnsi="仿宋_GB2312" w:eastAsia="仿宋_GB2312" w:cs="仿宋_GB2312"/>
          <w:b/>
          <w:bCs/>
          <w:color w:val="auto"/>
          <w:kern w:val="2"/>
          <w:sz w:val="32"/>
          <w:szCs w:val="32"/>
          <w:highlight w:val="none"/>
          <w:lang w:bidi="th-TH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本文档主要从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平台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功能介绍、页面展示和操作指南方面对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平台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进行介绍，期望通过阅读本文档，用户可以了解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平台对针对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污染源自动监控设备工单申请与审批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的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主要功能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与操作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熟悉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使用平台。</w:t>
      </w:r>
    </w:p>
    <w:p>
      <w:pPr>
        <w:pStyle w:val="4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0" w:line="360" w:lineRule="auto"/>
        <w:ind w:left="425" w:leftChars="0" w:right="0" w:rightChars="0" w:hanging="425" w:firstLineChars="0"/>
        <w:jc w:val="both"/>
        <w:textAlignment w:val="auto"/>
        <w:outlineLvl w:val="0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bookmarkStart w:id="7" w:name="_Toc20236"/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平台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登录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说明</w:t>
      </w:r>
      <w:bookmarkEnd w:id="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default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本平台企业端，可以通过PC企业端、移动端APP“企环通”、微信小程序“中易办”等途径进行登录。可通过账号密码或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instrText xml:space="preserve"> HYPERLINK "https://zszhhb.cn:10071/saas/yjz/sso" </w:instrTex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fldChar w:fldCharType="separate"/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广东省统一身份认证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方式登录。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账号密码方式登录。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PC企业端、移动端APP“企环通”可通过该方式登录。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同一企业对应分配一个账号，由企业自行管理，管理人员、办事人员、运维单位共同使用一个账号。账号开通后，应请妥善保管，自行负责账号安全。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instrText xml:space="preserve"> HYPERLINK "https://zszhhb.cn:10071/saas/yjz/sso" </w:instrTex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fldChar w:fldCharType="separate"/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广东省统一身份认证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方式登录。PC企业端、微信小程序“中易办”可通过该方式登录。企业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法人或个人用户通过中易办认证后，可选择该方式进行登录。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个人用户需要企业法人授权后才有权限使用平台功能。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同一企业可申请多个账号，由企业法人授权给各管理人员、办事人员、运维单位。每个角色均为独立账号，不共用。具体操作见本指引的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instrText xml:space="preserve"> HYPERLINK \l "_微信小程序\“中易办\”登录" </w:instrTex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fldChar w:fldCharType="separate"/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2.3.2章节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。</w:t>
      </w:r>
    </w:p>
    <w:p>
      <w:pPr>
        <w:pStyle w:val="5"/>
        <w:numPr>
          <w:ilvl w:val="1"/>
          <w:numId w:val="1"/>
        </w:numPr>
        <w:ind w:left="425" w:leftChars="0" w:hanging="425" w:firstLineChars="0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  <w:bookmarkStart w:id="8" w:name="_Toc23858"/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PC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企业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端登录</w:t>
      </w:r>
      <w:bookmarkEnd w:id="8"/>
    </w:p>
    <w:p>
      <w:pPr>
        <w:pStyle w:val="17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1、账号密码登录：</w:t>
      </w:r>
    </w:p>
    <w:p>
      <w:pPr>
        <w:pStyle w:val="1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平台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登录地址：https://zszhhb.cn:10071/saas/login</w:t>
      </w:r>
    </w:p>
    <w:p>
      <w:pPr>
        <w:pStyle w:val="1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平台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账号：统一社会信用代码</w:t>
      </w:r>
    </w:p>
    <w:p>
      <w:pPr>
        <w:pStyle w:val="1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默认密码：请咨询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平台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维护人员，黄工 15902064325（微信同号）、黎工 18219253788（微信同号）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0"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drawing>
          <wp:inline distT="0" distB="0" distL="114300" distR="114300">
            <wp:extent cx="5090795" cy="2807970"/>
            <wp:effectExtent l="15875" t="15875" r="74930" b="71755"/>
            <wp:docPr id="3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90795" cy="2807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17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instrText xml:space="preserve"> HYPERLINK "https://zszhhb.cn:10071/saas/yjz/sso" </w:instrTex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fldChar w:fldCharType="separate"/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广东省统一身份认证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登录：</w:t>
      </w:r>
    </w:p>
    <w:p>
      <w:pPr>
        <w:pStyle w:val="17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通过本指引的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u w:val="single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u w:val="single"/>
          <w:lang w:val="en-US" w:eastAsia="zh-CN"/>
        </w:rPr>
        <w:instrText xml:space="preserve"> HYPERLINK \l "_微信小程序\“中易办\”登录" </w:instrTex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u w:val="single"/>
          <w:lang w:val="en-US" w:eastAsia="zh-CN"/>
        </w:rPr>
        <w:fldChar w:fldCharType="separate"/>
      </w:r>
      <w:r>
        <w:rPr>
          <w:rStyle w:val="14"/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2.3.2章节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u w:val="single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，中易办认证后，可选择该方式进行登录。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0"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</w:pPr>
      <w:r>
        <w:drawing>
          <wp:inline distT="0" distB="0" distL="114300" distR="114300">
            <wp:extent cx="4961890" cy="2807970"/>
            <wp:effectExtent l="15875" t="15875" r="70485" b="71755"/>
            <wp:docPr id="3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61890" cy="2807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1890" cy="2807970"/>
            <wp:effectExtent l="15875" t="15875" r="70485" b="71755"/>
            <wp:docPr id="38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61890" cy="2807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1"/>
          <w:numId w:val="1"/>
        </w:numPr>
        <w:ind w:left="425" w:leftChars="0" w:hanging="425" w:firstLine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bookmarkStart w:id="9" w:name="_Toc31425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移动端APP“企环通”登录</w:t>
      </w:r>
      <w:bookmarkEnd w:id="9"/>
    </w:p>
    <w:p>
      <w:pPr>
        <w:pStyle w:val="17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1、APP下载：可以通过PC企业端右上角“下载移动端”提供的二维码地址，扫码下载。或扫描以下二维码进行下载。</w:t>
      </w:r>
    </w:p>
    <w:p>
      <w:pPr>
        <w:pStyle w:val="2"/>
        <w:jc w:val="center"/>
        <w:rPr>
          <w:rFonts w:hint="eastAsia"/>
          <w:highlight w:val="none"/>
          <w:lang w:val="en-US" w:eastAsia="zh-CN"/>
        </w:rPr>
      </w:pPr>
      <w:r>
        <w:drawing>
          <wp:inline distT="0" distB="0" distL="114300" distR="114300">
            <wp:extent cx="3583305" cy="4041140"/>
            <wp:effectExtent l="25400" t="25400" r="86995" b="86360"/>
            <wp:docPr id="4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83305" cy="40411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5"/>
        </w:numPr>
        <w:rPr>
          <w:rFonts w:hint="eastAsia" w:ascii="仿宋_GB2312" w:hAnsi="仿宋_GB2312" w:eastAsia="仿宋_GB2312" w:cs="仿宋_GB2312"/>
          <w:color w:val="auto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auto"/>
          <w:kern w:val="2"/>
          <w:sz w:val="32"/>
          <w:szCs w:val="32"/>
          <w:highlight w:val="none"/>
          <w:lang w:val="en-US" w:eastAsia="zh-CN" w:bidi="ar-SA"/>
        </w:rPr>
        <w:t>APP登录</w:t>
      </w:r>
    </w:p>
    <w:p>
      <w:pPr>
        <w:pStyle w:val="17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平台</w:t>
      </w:r>
      <w:r>
        <w:rPr>
          <w:rFonts w:hint="eastAsia" w:ascii="仿宋_GB2312" w:hAnsi="仿宋_GB2312" w:eastAsia="仿宋_GB2312" w:cs="仿宋_GB2312"/>
          <w:color w:val="auto"/>
          <w:kern w:val="2"/>
          <w:sz w:val="32"/>
          <w:szCs w:val="32"/>
          <w:highlight w:val="none"/>
          <w:lang w:val="en-US" w:eastAsia="zh-CN" w:bidi="ar-SA"/>
        </w:rPr>
        <w:t>账号：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统一社会信用代码</w:t>
      </w:r>
    </w:p>
    <w:p>
      <w:pPr>
        <w:pStyle w:val="2"/>
        <w:numPr>
          <w:ilvl w:val="0"/>
          <w:numId w:val="0"/>
        </w:numPr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2"/>
          <w:sz w:val="32"/>
          <w:szCs w:val="32"/>
          <w:highlight w:val="none"/>
          <w:lang w:val="en-US" w:eastAsia="zh-CN" w:bidi="ar-SA"/>
        </w:rPr>
        <w:t>默认密码：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请咨询系统维护人员，黄工 15902064325（微信同号）、黎工 18219253788（微信同号）</w:t>
      </w:r>
    </w:p>
    <w:p>
      <w:pPr>
        <w:pStyle w:val="2"/>
        <w:numPr>
          <w:ilvl w:val="0"/>
          <w:numId w:val="0"/>
        </w:numPr>
        <w:ind w:leftChars="0" w:firstLine="640" w:firstLineChars="200"/>
        <w:jc w:val="center"/>
        <w:rPr>
          <w:rFonts w:hint="eastAsia" w:ascii="仿宋_GB2312" w:hAnsi="仿宋_GB2312" w:eastAsia="仿宋_GB2312" w:cs="仿宋_GB2312"/>
          <w:color w:val="auto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auto"/>
          <w:kern w:val="2"/>
          <w:sz w:val="32"/>
          <w:szCs w:val="32"/>
          <w:highlight w:val="none"/>
          <w:lang w:val="en-US" w:eastAsia="zh-CN" w:bidi="ar-SA"/>
        </w:rPr>
        <w:drawing>
          <wp:inline distT="0" distB="0" distL="114300" distR="114300">
            <wp:extent cx="1800225" cy="3599815"/>
            <wp:effectExtent l="15875" t="15875" r="69850" b="80010"/>
            <wp:docPr id="357" name="图片 357" descr="40b6a1948cbb0357364c0e680ec00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图片 357" descr="40b6a1948cbb0357364c0e680ec005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59981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1"/>
          <w:numId w:val="1"/>
        </w:numPr>
        <w:ind w:left="425" w:leftChars="0" w:hanging="425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bookmarkStart w:id="10" w:name="_Toc11002"/>
      <w:bookmarkStart w:id="11" w:name="_微信小程序“中易办”登录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微信小程序“中易办”登录</w:t>
      </w:r>
      <w:bookmarkEnd w:id="10"/>
    </w:p>
    <w:bookmarkEnd w:id="11"/>
    <w:p>
      <w:pPr>
        <w:pStyle w:val="6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bookmarkStart w:id="12" w:name="_Toc7376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中易办入口</w:t>
      </w:r>
      <w:bookmarkEnd w:id="1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1、微信搜索“中易办”小程序，打开登录后依次点击【更多】-【政务服务】-【中山生态环境】即可进入。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617980" cy="3383915"/>
            <wp:effectExtent l="15875" t="15875" r="80645" b="86360"/>
            <wp:docPr id="358" name="图片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图片 35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17980" cy="3383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75435" cy="3383915"/>
            <wp:effectExtent l="15875" t="15875" r="85090" b="86360"/>
            <wp:docPr id="35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3383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82420" cy="3383915"/>
            <wp:effectExtent l="15875" t="15875" r="78105" b="86360"/>
            <wp:docPr id="36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3383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6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bookmarkStart w:id="13" w:name="_Toc10304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中易办用户登录说明</w:t>
      </w:r>
      <w:bookmarkEnd w:id="13"/>
    </w:p>
    <w:p>
      <w:pPr>
        <w:pStyle w:val="7"/>
        <w:ind w:left="425" w:leftChars="0" w:hanging="425" w:firstLine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中易办用户认证说明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中易办使用了“粤信签”用户认证体系，分为法人登录与个人用户登录。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法人登录，法人登录中易办，并将认证等级提升为“L2”级别，绑定法人所注册的企业。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个人登录，个人通过人脸识别登录后，选择对应企业申请绑定权限。</w:t>
      </w:r>
    </w:p>
    <w:p>
      <w:pPr>
        <w:pStyle w:val="7"/>
        <w:ind w:left="425" w:leftChars="0" w:hanging="425" w:firstLine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中易办角色说明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使用“中易办”登录，进入【中山生态环境】系统，系统会区分“企业法人”、“企业管理员”、“企业办事员”3个角色，对应角色有不同操作权限。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企业法人，可以使用平台上全部功能。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企业管理员，由企业法人授权，可以使用平台上全部功能。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企业办事员，由企业法人或企业管理员授权，可以使用平台上授权的运维功能。</w:t>
      </w:r>
    </w:p>
    <w:p>
      <w:pPr>
        <w:pStyle w:val="7"/>
        <w:ind w:left="425" w:leftChars="0" w:hanging="425" w:firstLine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中易办企业权限申请说明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1、法人登录后，平台会根据法人登录认证信息，自动绑定所注册的企业，点击进入【中山生态环境】即可。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2、个人用户登录后，可以申请绑定企业，点击进入【中山生态环境】菜单，按平台提示“绑定企业”，输入对应信息后，提交审核。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Chars="200" w:right="0" w:rightChars="0"/>
        <w:jc w:val="center"/>
        <w:textAlignment w:val="auto"/>
        <w:outlineLvl w:val="9"/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1685290" cy="3599815"/>
            <wp:effectExtent l="15875" t="15875" r="70485" b="80010"/>
            <wp:docPr id="36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85290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bookmarkStart w:id="32" w:name="_GoBack"/>
      <w:bookmarkEnd w:id="32"/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企业法人或系统管理员收到绑定企业申请后，在平台上审批通过即可。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0" w:rightChars="0"/>
        <w:jc w:val="both"/>
        <w:textAlignment w:val="auto"/>
        <w:outlineLvl w:val="9"/>
      </w:pPr>
      <w:r>
        <w:drawing>
          <wp:inline distT="0" distB="0" distL="114300" distR="114300">
            <wp:extent cx="5274310" cy="2984500"/>
            <wp:effectExtent l="15875" t="15875" r="81915" b="85725"/>
            <wp:docPr id="38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个人用户再次登录进入【中山生态环境】功能后，即可进入平台，并显示对应申请绑定的企业信息与功能。</w:t>
      </w:r>
    </w:p>
    <w:p>
      <w:pPr>
        <w:pStyle w:val="4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25" w:leftChars="0" w:right="0" w:rightChars="0" w:hanging="425" w:firstLineChars="0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bookmarkStart w:id="14" w:name="_Toc27081"/>
      <w:bookmarkStart w:id="15" w:name="_Toc2514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设备工单申请审批操作说明</w:t>
      </w:r>
      <w:bookmarkEnd w:id="14"/>
      <w:bookmarkEnd w:id="15"/>
    </w:p>
    <w:p>
      <w:pPr>
        <w:pStyle w:val="5"/>
        <w:numPr>
          <w:ilvl w:val="1"/>
          <w:numId w:val="1"/>
        </w:numPr>
        <w:ind w:left="425" w:leftChars="0" w:hanging="425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bookmarkStart w:id="16" w:name="_Toc9615"/>
      <w:bookmarkStart w:id="17" w:name="_Toc22165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PC企业端操作</w:t>
      </w:r>
      <w:bookmarkEnd w:id="16"/>
      <w:bookmarkEnd w:id="17"/>
    </w:p>
    <w:p>
      <w:pPr>
        <w:pStyle w:val="6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bookmarkStart w:id="18" w:name="_Toc16297"/>
      <w:bookmarkStart w:id="19" w:name="_Toc11594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设备管理</w:t>
      </w:r>
      <w:bookmarkEnd w:id="18"/>
      <w:bookmarkEnd w:id="19"/>
    </w:p>
    <w:p>
      <w:pPr>
        <w:pStyle w:val="17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Hans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Hans"/>
        </w:rPr>
        <w:t>该功能可管理本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排污单位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Hans"/>
        </w:rPr>
        <w:t>内所有设备，并可对设备进行批量状态变更申请：包含维修、暂停使用、拆除、更换的申请。</w:t>
      </w:r>
    </w:p>
    <w:p>
      <w:pPr>
        <w:pStyle w:val="17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登录平台后，依次点击【自动监控管理】-【设备管理】进入到本排污单位的设备台账列表，可以根据实际情况，对单个或多个设备进行工单申请。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单个设备工单申请，选择对应的设备点击【设备状态变更】，点击对应需要申请的类型，包括【申请维修设备】【申请暂停使用】【申请停用永久拆除】【申请更换设备】等申请类型可以选择。进入申请页面。填写申请起止期限、申请原因、上传凭证，点击申请审批。</w:t>
      </w:r>
    </w:p>
    <w:p>
      <w:pPr>
        <w:pStyle w:val="2"/>
        <w:ind w:left="0" w:leftChars="0" w:firstLine="0" w:firstLineChars="0"/>
        <w:jc w:val="both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drawing>
          <wp:inline distT="0" distB="0" distL="114300" distR="114300">
            <wp:extent cx="5267325" cy="2987675"/>
            <wp:effectExtent l="15875" t="15875" r="69850" b="8255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8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drawing>
          <wp:inline distT="0" distB="0" distL="114300" distR="114300">
            <wp:extent cx="5267325" cy="2987675"/>
            <wp:effectExtent l="15875" t="15875" r="69850" b="8255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8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批量设备工单申请，勾选对应需要操作申请的设备，点击【批量状态变更】。进入申请页面，填写对应的申请类别、申请起止期限、申请原因、上传凭证，然后点【申请审批】。</w:t>
      </w:r>
    </w:p>
    <w:p>
      <w:pPr>
        <w:pStyle w:val="2"/>
        <w:numPr>
          <w:ilvl w:val="0"/>
          <w:numId w:val="0"/>
        </w:numPr>
        <w:jc w:val="both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drawing>
          <wp:inline distT="0" distB="0" distL="114300" distR="114300">
            <wp:extent cx="5267325" cy="2987675"/>
            <wp:effectExtent l="15875" t="15875" r="69850" b="8255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8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drawing>
          <wp:inline distT="0" distB="0" distL="114300" distR="114300">
            <wp:extent cx="5267325" cy="2987675"/>
            <wp:effectExtent l="15875" t="15875" r="69850" b="8255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8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3、查看设备详情，点击对应设备的【查看】，可以查看设备的基本信息以及对应工单信息。</w:t>
      </w:r>
    </w:p>
    <w:p>
      <w:pPr>
        <w:pStyle w:val="6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bookmarkStart w:id="20" w:name="_Toc32391"/>
      <w:bookmarkStart w:id="21" w:name="_Toc28773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消息通知</w:t>
      </w:r>
      <w:bookmarkEnd w:id="20"/>
      <w:bookmarkEnd w:id="2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i w:val="0"/>
          <w:caps w:val="0"/>
          <w:color w:val="auto"/>
          <w:spacing w:val="0"/>
          <w:sz w:val="32"/>
          <w:szCs w:val="32"/>
          <w:highlight w:val="none"/>
          <w:shd w:val="clear" w:fill="FFFFFF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caps w:val="0"/>
          <w:color w:val="auto"/>
          <w:spacing w:val="0"/>
          <w:sz w:val="32"/>
          <w:szCs w:val="32"/>
          <w:highlight w:val="none"/>
          <w:shd w:val="clear" w:fill="FFFFFF"/>
          <w:lang w:val="en-US" w:eastAsia="zh-CN"/>
        </w:rPr>
        <w:t>点击右上角“铃铛”，可以展示排污单位接收到的自动监控的工单审批信息。</w:t>
      </w:r>
    </w:p>
    <w:p>
      <w:pP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drawing>
          <wp:inline distT="0" distB="0" distL="114300" distR="114300">
            <wp:extent cx="5267325" cy="2987675"/>
            <wp:effectExtent l="15875" t="15875" r="69850" b="82550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8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1"/>
          <w:numId w:val="1"/>
        </w:numPr>
        <w:ind w:left="425" w:leftChars="0" w:hanging="425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Hans"/>
        </w:rPr>
      </w:pPr>
      <w:bookmarkStart w:id="22" w:name="_Toc13793"/>
      <w:bookmarkStart w:id="23" w:name="_Toc23307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移动端“企环通”操作</w:t>
      </w:r>
      <w:bookmarkEnd w:id="22"/>
      <w:bookmarkEnd w:id="23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 xml:space="preserve">      </w:t>
      </w:r>
    </w:p>
    <w:p>
      <w:pPr>
        <w:pStyle w:val="6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Hans"/>
        </w:rPr>
      </w:pPr>
      <w:bookmarkStart w:id="24" w:name="_Toc8182"/>
      <w:bookmarkStart w:id="25" w:name="_Toc9173"/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Hans"/>
        </w:rPr>
        <w:t>自动监测设备维修、停用、拆除或更换审批</w:t>
      </w:r>
      <w:bookmarkEnd w:id="24"/>
      <w:bookmarkEnd w:id="2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eastAsia="仿宋_GB2312"/>
          <w:sz w:val="32"/>
          <w:szCs w:val="32"/>
          <w:highlight w:val="none"/>
          <w:lang w:val="en-US" w:eastAsia="zh-CN"/>
        </w:rPr>
        <w:t>登录企环通后，点击【智用】，在企业环境管理下，选择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【自动监测设备维修、停用、拆除或更换审批】。</w:t>
      </w:r>
    </w:p>
    <w:p>
      <w:pPr>
        <w:pStyle w:val="2"/>
        <w:jc w:val="center"/>
        <w:rPr>
          <w:rFonts w:hint="eastAsia"/>
          <w:highlight w:val="none"/>
          <w:lang w:val="en-US" w:eastAsia="zh-CN"/>
        </w:rPr>
      </w:pPr>
      <w:r>
        <w:rPr>
          <w:highlight w:val="none"/>
        </w:rPr>
        <w:drawing>
          <wp:inline distT="0" distB="0" distL="114300" distR="114300">
            <wp:extent cx="2863850" cy="5678805"/>
            <wp:effectExtent l="15875" t="15875" r="73025" b="7747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63850" cy="56788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点击【自动监测设备维修、停用、拆除或更换审批】，进入到该企业的自动监测设备列表中；</w:t>
      </w:r>
    </w:p>
    <w:p>
      <w:pPr>
        <w:pStyle w:val="2"/>
        <w:numPr>
          <w:ilvl w:val="0"/>
          <w:numId w:val="0"/>
        </w:numPr>
        <w:jc w:val="center"/>
        <w:rPr>
          <w:rFonts w:hint="eastAsia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napToGrid w:val="0"/>
          <w:color w:val="auto"/>
          <w:w w:val="0"/>
          <w:sz w:val="32"/>
          <w:szCs w:val="32"/>
          <w:highlight w:val="none"/>
          <w:u w:color="000000"/>
          <w:shd w:val="clear" w:color="000000" w:fill="000000"/>
          <w:lang w:val="zh-CN" w:eastAsia="zh-CN" w:bidi="zh-CN"/>
        </w:rPr>
        <w:drawing>
          <wp:inline distT="0" distB="0" distL="114300" distR="114300">
            <wp:extent cx="2729865" cy="5460365"/>
            <wp:effectExtent l="0" t="0" r="13335" b="6985"/>
            <wp:docPr id="19" name="图片 19" descr="a99652443f48892a53aebf84c40f2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a99652443f48892a53aebf84c40f2e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29865" cy="546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2、选择设备列表中的任一设备，根据需要申请的类型进行选择；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3、以“维修”为例，点击后进入申请信息填报页面，填写“申请起止时间”、“申请原因”、上传相关证明材料“附件”，然后点击【提交申请】。</w:t>
      </w:r>
    </w:p>
    <w:p>
      <w:pPr>
        <w:pStyle w:val="2"/>
        <w:jc w:val="center"/>
        <w:rPr>
          <w:rFonts w:hint="eastAsia" w:ascii="仿宋_GB2312" w:hAnsi="仿宋_GB2312" w:eastAsia="仿宋_GB2312" w:cs="仿宋_GB2312"/>
          <w:b w:val="0"/>
          <w:bCs w:val="0"/>
          <w:color w:val="auto"/>
          <w:sz w:val="32"/>
          <w:szCs w:val="32"/>
          <w:highlight w:val="none"/>
          <w:lang w:val="en-US" w:eastAsia="zh-CN"/>
        </w:rPr>
      </w:pPr>
      <w:r>
        <w:rPr>
          <w:highlight w:val="none"/>
        </w:rPr>
        <w:drawing>
          <wp:inline distT="0" distB="0" distL="114300" distR="114300">
            <wp:extent cx="2827655" cy="8858250"/>
            <wp:effectExtent l="15875" t="15875" r="71120" b="7937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27655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6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bookmarkStart w:id="26" w:name="_Toc29034"/>
      <w:bookmarkStart w:id="27" w:name="_Toc15692"/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智信</w:t>
      </w:r>
      <w:bookmarkEnd w:id="26"/>
      <w:bookmarkEnd w:id="27"/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th-TH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th-TH"/>
        </w:rPr>
        <w:t>可以展示排污单位接收到的自动监控的工单审批消息通知。</w:t>
      </w:r>
    </w:p>
    <w:p>
      <w:pPr>
        <w:jc w:val="center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drawing>
          <wp:inline distT="0" distB="0" distL="114300" distR="114300">
            <wp:extent cx="2440305" cy="4881245"/>
            <wp:effectExtent l="15875" t="15875" r="77470" b="74930"/>
            <wp:docPr id="38" name="图片 38" descr="caccdb2cb1ad6d83207f5dd4f3be4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caccdb2cb1ad6d83207f5dd4f3be4f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40305" cy="488124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6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bookmarkStart w:id="28" w:name="_Toc8370"/>
      <w:bookmarkStart w:id="29" w:name="_Toc28922"/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智办</w:t>
      </w:r>
      <w:bookmarkEnd w:id="28"/>
      <w:bookmarkEnd w:id="29"/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th-TH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th-TH"/>
        </w:rPr>
        <w:t>展示排污单位的“设备工单”待办任务信息，点击待办任务可以进入办理页面进行任务办理。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th-TH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 w:bidi="th-TH"/>
        </w:rPr>
        <w:t>展示排污单位的“设备工单”已办信息，可以查看工单申请审批进度。</w:t>
      </w:r>
    </w:p>
    <w:p>
      <w:pPr>
        <w:jc w:val="center"/>
        <w:rPr>
          <w:rFonts w:hint="eastAsia" w:ascii="仿宋_GB2312" w:hAnsi="仿宋_GB2312" w:eastAsia="仿宋_GB2312" w:cs="仿宋_GB2312"/>
          <w:color w:val="auto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drawing>
          <wp:inline distT="0" distB="0" distL="114300" distR="114300">
            <wp:extent cx="2395855" cy="4793615"/>
            <wp:effectExtent l="15875" t="15875" r="83820" b="86360"/>
            <wp:docPr id="39" name="图片 39" descr="02cc89cda6cb787300bcfe5e4eec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02cc89cda6cb787300bcfe5e4eec9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95855" cy="479361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1"/>
          <w:numId w:val="1"/>
        </w:numPr>
        <w:ind w:left="425" w:leftChars="0" w:hanging="425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</w:pPr>
      <w:bookmarkStart w:id="30" w:name="_Toc29165"/>
      <w:bookmarkStart w:id="31" w:name="_Toc6028"/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微信小程序“中易办”操作</w:t>
      </w:r>
      <w:bookmarkEnd w:id="30"/>
      <w:bookmarkEnd w:id="31"/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0" w:line="240" w:lineRule="auto"/>
        <w:ind w:left="0" w:leftChars="0" w:right="0" w:rightChars="0" w:firstLine="640" w:firstLineChars="200"/>
        <w:jc w:val="both"/>
        <w:textAlignment w:val="auto"/>
        <w:outlineLvl w:val="9"/>
        <w:rPr>
          <w:rFonts w:hint="eastAsia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与3.2移动端“企环通”操作一致。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AB70B0"/>
    <w:multiLevelType w:val="singleLevel"/>
    <w:tmpl w:val="64AB70B0"/>
    <w:lvl w:ilvl="0" w:tentative="0">
      <w:start w:val="1"/>
      <w:numFmt w:val="decimal"/>
      <w:lvlText w:val="%1."/>
      <w:lvlJc w:val="left"/>
      <w:pPr>
        <w:ind w:left="425" w:leftChars="0" w:hanging="425" w:firstLineChars="0"/>
      </w:pPr>
      <w:rPr>
        <w:rFonts w:hint="default"/>
      </w:rPr>
    </w:lvl>
  </w:abstractNum>
  <w:abstractNum w:abstractNumId="1">
    <w:nsid w:val="64ABAA5B"/>
    <w:multiLevelType w:val="singleLevel"/>
    <w:tmpl w:val="64ABAA5B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64B63BAB"/>
    <w:multiLevelType w:val="singleLevel"/>
    <w:tmpl w:val="64B63BAB"/>
    <w:lvl w:ilvl="0" w:tentative="0">
      <w:start w:val="2"/>
      <w:numFmt w:val="decimal"/>
      <w:suff w:val="nothing"/>
      <w:lvlText w:val="%1、"/>
      <w:lvlJc w:val="left"/>
    </w:lvl>
  </w:abstractNum>
  <w:abstractNum w:abstractNumId="3">
    <w:nsid w:val="64B640DA"/>
    <w:multiLevelType w:val="singleLevel"/>
    <w:tmpl w:val="64B640DA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64B6530C"/>
    <w:multiLevelType w:val="singleLevel"/>
    <w:tmpl w:val="64B6530C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64C325AB"/>
    <w:multiLevelType w:val="multilevel"/>
    <w:tmpl w:val="64C325AB"/>
    <w:lvl w:ilvl="0" w:tentative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lvlText w:val="%1.%2"/>
      <w:lvlJc w:val="left"/>
      <w:pPr>
        <w:ind w:left="425" w:hanging="425"/>
      </w:pPr>
      <w:rPr>
        <w:rFonts w:hint="eastAsia"/>
      </w:rPr>
    </w:lvl>
    <w:lvl w:ilvl="2" w:tentative="0">
      <w:start w:val="1"/>
      <w:numFmt w:val="decimal"/>
      <w:pStyle w:val="6"/>
      <w:lvlText w:val="%1.%2.%3"/>
      <w:lvlJc w:val="left"/>
      <w:pPr>
        <w:ind w:left="425" w:hanging="425"/>
      </w:pPr>
      <w:rPr>
        <w:rFonts w:hint="eastAsia"/>
      </w:rPr>
    </w:lvl>
    <w:lvl w:ilvl="3" w:tentative="0">
      <w:start w:val="1"/>
      <w:numFmt w:val="decimal"/>
      <w:pStyle w:val="7"/>
      <w:lvlText w:val="%1.%2.%3.%4"/>
      <w:lvlJc w:val="left"/>
      <w:pPr>
        <w:ind w:left="425" w:hanging="425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425" w:hanging="425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425" w:hanging="425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425" w:hanging="425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25" w:hanging="425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425" w:hanging="425"/>
      </w:pPr>
      <w:rPr>
        <w:rFonts w:hint="eastAsia"/>
      </w:rPr>
    </w:lvl>
  </w:abstractNum>
  <w:abstractNum w:abstractNumId="6">
    <w:nsid w:val="65A4DAAD"/>
    <w:multiLevelType w:val="singleLevel"/>
    <w:tmpl w:val="65A4DAAD"/>
    <w:lvl w:ilvl="0" w:tentative="0">
      <w:start w:val="1"/>
      <w:numFmt w:val="decimal"/>
      <w:suff w:val="nothing"/>
      <w:lvlText w:val="%1、"/>
      <w:lvlJc w:val="left"/>
    </w:lvl>
  </w:abstractNum>
  <w:abstractNum w:abstractNumId="7">
    <w:nsid w:val="65A4DCC3"/>
    <w:multiLevelType w:val="singleLevel"/>
    <w:tmpl w:val="65A4DCC3"/>
    <w:lvl w:ilvl="0" w:tentative="0">
      <w:start w:val="1"/>
      <w:numFmt w:val="decimal"/>
      <w:suff w:val="nothing"/>
      <w:lvlText w:val="%1、"/>
      <w:lvlJc w:val="left"/>
    </w:lvl>
  </w:abstractNum>
  <w:abstractNum w:abstractNumId="8">
    <w:nsid w:val="65D1D053"/>
    <w:multiLevelType w:val="singleLevel"/>
    <w:tmpl w:val="65D1D053"/>
    <w:lvl w:ilvl="0" w:tentative="0">
      <w:start w:val="2"/>
      <w:numFmt w:val="decimal"/>
      <w:suff w:val="nothing"/>
      <w:lvlText w:val="%1、"/>
      <w:lvlJc w:val="left"/>
    </w:lvl>
  </w:abstractNum>
  <w:abstractNum w:abstractNumId="9">
    <w:nsid w:val="65D1D477"/>
    <w:multiLevelType w:val="singleLevel"/>
    <w:tmpl w:val="65D1D477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5"/>
  </w:num>
  <w:num w:numId="2">
    <w:abstractNumId w:val="0"/>
  </w:num>
  <w:num w:numId="3">
    <w:abstractNumId w:val="9"/>
  </w:num>
  <w:num w:numId="4">
    <w:abstractNumId w:val="8"/>
  </w:num>
  <w:num w:numId="5">
    <w:abstractNumId w:val="2"/>
  </w:num>
  <w:num w:numId="6">
    <w:abstractNumId w:val="7"/>
  </w:num>
  <w:num w:numId="7">
    <w:abstractNumId w:val="6"/>
  </w:num>
  <w:num w:numId="8">
    <w:abstractNumId w:val="1"/>
  </w:num>
  <w:num w:numId="9">
    <w:abstractNumId w:val="3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MxMGMwNGUxZGJkYzJlZmZhZjc4Y2EzZGI0ZWM2NzYifQ=="/>
  </w:docVars>
  <w:rsids>
    <w:rsidRoot w:val="00000000"/>
    <w:rsid w:val="02163C32"/>
    <w:rsid w:val="074347C2"/>
    <w:rsid w:val="0C2931CF"/>
    <w:rsid w:val="0CA326EF"/>
    <w:rsid w:val="0F0A1E00"/>
    <w:rsid w:val="10EF7E56"/>
    <w:rsid w:val="1240262F"/>
    <w:rsid w:val="138929B4"/>
    <w:rsid w:val="13AD57E9"/>
    <w:rsid w:val="17994E25"/>
    <w:rsid w:val="19C7635B"/>
    <w:rsid w:val="1AFF658A"/>
    <w:rsid w:val="1F47029E"/>
    <w:rsid w:val="204D62E4"/>
    <w:rsid w:val="24377DF9"/>
    <w:rsid w:val="26D16E89"/>
    <w:rsid w:val="29D530A8"/>
    <w:rsid w:val="2F1D14D5"/>
    <w:rsid w:val="30712D1D"/>
    <w:rsid w:val="31A559D1"/>
    <w:rsid w:val="33653201"/>
    <w:rsid w:val="34457E9D"/>
    <w:rsid w:val="3689049E"/>
    <w:rsid w:val="3792301D"/>
    <w:rsid w:val="3EDC5030"/>
    <w:rsid w:val="41FC2C2C"/>
    <w:rsid w:val="430D0E57"/>
    <w:rsid w:val="4E8625C9"/>
    <w:rsid w:val="51C32274"/>
    <w:rsid w:val="587363AB"/>
    <w:rsid w:val="5CEA7172"/>
    <w:rsid w:val="5F180F2B"/>
    <w:rsid w:val="67653005"/>
    <w:rsid w:val="6CF01F9D"/>
    <w:rsid w:val="71746CB5"/>
    <w:rsid w:val="73866514"/>
    <w:rsid w:val="76AE75D0"/>
    <w:rsid w:val="78E51A91"/>
    <w:rsid w:val="791602A2"/>
    <w:rsid w:val="7C1367F8"/>
    <w:rsid w:val="7D783EEC"/>
    <w:rsid w:val="7DC47E0B"/>
    <w:rsid w:val="7DDE3C10"/>
    <w:rsid w:val="7EEF4264"/>
  </w:rsids>
  <m:mathPr>
    <m:lMargin m:val="0"/>
    <m:rMargin m:val="0"/>
    <m:wrapIndent m:val="1440"/>
    <m:brkBin m:val="before"/>
    <m:brkBinSub m:val="--"/>
    <m:defJc m:val="centerGroup"/>
    <m:intLim m:val="subSup"/>
    <m:naryLim m:val="undOvr"/>
    <m:smallFrac m:val="0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5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6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outlineLvl w:val="2"/>
    </w:pPr>
    <w:rPr>
      <w:rFonts w:hAnsi="宋体"/>
      <w:b/>
      <w:bCs/>
      <w:kern w:val="2"/>
      <w:szCs w:val="24"/>
    </w:rPr>
  </w:style>
  <w:style w:type="paragraph" w:styleId="7">
    <w:name w:val="heading 4"/>
    <w:basedOn w:val="1"/>
    <w:next w:val="1"/>
    <w:unhideWhenUsed/>
    <w:qFormat/>
    <w:uiPriority w:val="0"/>
    <w:pPr>
      <w:keepNext/>
      <w:keepLines/>
      <w:numPr>
        <w:ilvl w:val="3"/>
        <w:numId w:val="1"/>
      </w:numPr>
      <w:outlineLvl w:val="3"/>
    </w:pPr>
    <w:rPr>
      <w:b/>
      <w:bCs/>
      <w:kern w:val="2"/>
      <w:szCs w:val="28"/>
    </w:rPr>
  </w:style>
  <w:style w:type="character" w:default="1" w:styleId="13">
    <w:name w:val="Default Paragraph Font"/>
    <w:semiHidden/>
    <w:qFormat/>
    <w:uiPriority w:val="0"/>
  </w:style>
  <w:style w:type="table" w:default="1" w:styleId="1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qFormat/>
    <w:uiPriority w:val="0"/>
    <w:pPr>
      <w:spacing w:after="120"/>
      <w:ind w:firstLine="420" w:firstLineChars="100"/>
    </w:pPr>
    <w:rPr>
      <w:rFonts w:ascii="Calibri"/>
      <w:sz w:val="21"/>
    </w:rPr>
  </w:style>
  <w:style w:type="paragraph" w:styleId="3">
    <w:name w:val="Body Text"/>
    <w:basedOn w:val="1"/>
    <w:next w:val="1"/>
    <w:qFormat/>
    <w:uiPriority w:val="0"/>
    <w:rPr>
      <w:rFonts w:ascii="宋体"/>
      <w:sz w:val="28"/>
    </w:rPr>
  </w:style>
  <w:style w:type="paragraph" w:styleId="8">
    <w:name w:val="toc 3"/>
    <w:basedOn w:val="1"/>
    <w:next w:val="1"/>
    <w:qFormat/>
    <w:uiPriority w:val="0"/>
    <w:pPr>
      <w:ind w:left="840" w:leftChars="400"/>
    </w:p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0">
    <w:name w:val="toc 1"/>
    <w:basedOn w:val="1"/>
    <w:next w:val="1"/>
    <w:qFormat/>
    <w:uiPriority w:val="0"/>
  </w:style>
  <w:style w:type="paragraph" w:styleId="11">
    <w:name w:val="toc 2"/>
    <w:basedOn w:val="1"/>
    <w:next w:val="1"/>
    <w:qFormat/>
    <w:uiPriority w:val="0"/>
    <w:pPr>
      <w:ind w:left="420" w:leftChars="200"/>
    </w:pPr>
  </w:style>
  <w:style w:type="paragraph" w:styleId="1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4">
    <w:name w:val="FollowedHyperlink"/>
    <w:basedOn w:val="13"/>
    <w:qFormat/>
    <w:uiPriority w:val="0"/>
    <w:rPr>
      <w:color w:val="800080"/>
      <w:u w:val="single"/>
    </w:rPr>
  </w:style>
  <w:style w:type="character" w:styleId="15">
    <w:name w:val="Hyperlink"/>
    <w:basedOn w:val="13"/>
    <w:qFormat/>
    <w:uiPriority w:val="0"/>
    <w:rPr>
      <w:color w:val="0000FF"/>
      <w:u w:val="single"/>
    </w:rPr>
  </w:style>
  <w:style w:type="paragraph" w:customStyle="1" w:styleId="17">
    <w:name w:val="缩进正文"/>
    <w:basedOn w:val="1"/>
    <w:qFormat/>
    <w:uiPriority w:val="0"/>
    <w:pPr>
      <w:ind w:firstLine="480" w:firstLineChars="200"/>
    </w:pPr>
    <w:rPr>
      <w:rFonts w:cstheme="minorBidi"/>
      <w:kern w:val="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pn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Office_10.8.0.6058_F1E327BC-269C-435d-A152-05C5408002CA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37304</dc:creator>
  <cp:lastModifiedBy>hz</cp:lastModifiedBy>
  <dcterms:modified xsi:type="dcterms:W3CDTF">2024-07-05T08:28:38Z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2052-10.8.0.6058</vt:lpwstr>
  </property>
  <property fmtid="{D5CDD505-2E9C-101B-9397-08002B2CF9AE}" pid="3" name="ICV">
    <vt:lpwstr>3044483AE7694E5DB2A7C98F9139CA37</vt:lpwstr>
  </property>
</Properties>
</file>