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82A913">
      <w:pPr>
        <w:keepNext w:val="0"/>
        <w:keepLines w:val="0"/>
        <w:widowControl/>
        <w:suppressLineNumbers w:val="0"/>
        <w:overflowPunct w:val="0"/>
        <w:topLinePunct/>
        <w:autoSpaceDE w:val="0"/>
        <w:autoSpaceDN/>
        <w:adjustRightInd w:val="0"/>
        <w:spacing w:before="0" w:beforeAutospacing="0" w:after="0" w:afterAutospacing="0" w:line="560" w:lineRule="exact"/>
        <w:ind w:left="0" w:right="0"/>
        <w:jc w:val="center"/>
        <w:rPr>
          <w:rFonts w:hint="default" w:ascii="Times New Roman" w:hAnsi="Times New Roman" w:eastAsia="方正黑体_GBK" w:cs="Times New Roman"/>
          <w:b w:val="0"/>
          <w:bCs w:val="0"/>
          <w:i w:val="0"/>
          <w:iCs w:val="0"/>
          <w:caps w:val="0"/>
          <w:color w:val="131922"/>
          <w:spacing w:val="0"/>
          <w:kern w:val="0"/>
          <w:sz w:val="44"/>
          <w:szCs w:val="44"/>
          <w:shd w:val="clear" w:color="auto" w:fill="FFFFFF"/>
        </w:rPr>
      </w:pPr>
      <w:r>
        <w:rPr>
          <w:rFonts w:hint="default" w:ascii="Times New Roman" w:hAnsi="Times New Roman" w:eastAsia="方正黑体_GBK" w:cs="Times New Roman"/>
          <w:b w:val="0"/>
          <w:bCs w:val="0"/>
          <w:i w:val="0"/>
          <w:iCs w:val="0"/>
          <w:caps w:val="0"/>
          <w:color w:val="131922"/>
          <w:spacing w:val="0"/>
          <w:kern w:val="0"/>
          <w:sz w:val="44"/>
          <w:szCs w:val="44"/>
          <w:shd w:val="clear" w:color="auto" w:fill="FFFFFF"/>
          <w:lang w:val="en-US" w:eastAsia="zh-CN" w:bidi="ar"/>
        </w:rPr>
        <w:t>中山市坦洲镇查处某公司通过逃避监管的方式排放水污染物案件</w:t>
      </w:r>
    </w:p>
    <w:p w14:paraId="1198DBAA">
      <w:pPr>
        <w:keepNext w:val="0"/>
        <w:keepLines w:val="0"/>
        <w:pageBreakBefore w:val="0"/>
        <w:widowControl w:val="0"/>
        <w:suppressLineNumbers w:val="0"/>
        <w:kinsoku/>
        <w:wordWrap/>
        <w:overflowPunct w:val="0"/>
        <w:topLinePunct/>
        <w:autoSpaceDE/>
        <w:autoSpaceDN/>
        <w:bidi w:val="0"/>
        <w:adjustRightInd w:val="0"/>
        <w:snapToGrid/>
        <w:spacing w:before="0" w:beforeAutospacing="0" w:after="0" w:afterAutospacing="0" w:line="560" w:lineRule="exact"/>
        <w:ind w:left="0" w:right="0" w:firstLine="616" w:firstLineChars="200"/>
        <w:jc w:val="both"/>
        <w:textAlignment w:val="auto"/>
        <w:rPr>
          <w:rFonts w:hint="default" w:ascii="Times New Roman" w:hAnsi="Times New Roman" w:eastAsia="仿宋" w:cs="Times New Roman"/>
          <w:spacing w:val="-6"/>
          <w:kern w:val="2"/>
          <w:sz w:val="32"/>
          <w:szCs w:val="32"/>
          <w:lang w:val="en-US" w:eastAsia="zh-CN" w:bidi="ar"/>
        </w:rPr>
      </w:pPr>
    </w:p>
    <w:p w14:paraId="721EB6C0">
      <w:pPr>
        <w:keepNext w:val="0"/>
        <w:keepLines w:val="0"/>
        <w:pageBreakBefore w:val="0"/>
        <w:widowControl w:val="0"/>
        <w:suppressLineNumbers w:val="0"/>
        <w:kinsoku/>
        <w:wordWrap/>
        <w:overflowPunct w:val="0"/>
        <w:topLinePunct/>
        <w:autoSpaceDE/>
        <w:autoSpaceDN/>
        <w:bidi w:val="0"/>
        <w:adjustRightInd w:val="0"/>
        <w:snapToGrid/>
        <w:spacing w:before="0" w:beforeAutospacing="0" w:after="0" w:afterAutospacing="0" w:line="560" w:lineRule="exact"/>
        <w:ind w:left="0" w:right="0" w:firstLine="616" w:firstLineChars="200"/>
        <w:jc w:val="both"/>
        <w:textAlignment w:val="auto"/>
        <w:rPr>
          <w:rFonts w:hint="default" w:ascii="Times New Roman" w:hAnsi="Times New Roman" w:eastAsia="仿宋_GB2312" w:cs="Times New Roman"/>
          <w:i w:val="0"/>
          <w:caps w:val="0"/>
          <w:spacing w:val="0"/>
          <w:kern w:val="0"/>
          <w:sz w:val="32"/>
          <w:szCs w:val="32"/>
          <w:shd w:val="clear" w:color="auto" w:fill="FFFFFF"/>
        </w:rPr>
      </w:pPr>
      <w:r>
        <w:rPr>
          <w:rFonts w:hint="default" w:ascii="Times New Roman" w:hAnsi="Times New Roman" w:eastAsia="仿宋" w:cs="Times New Roman"/>
          <w:spacing w:val="-6"/>
          <w:kern w:val="2"/>
          <w:sz w:val="32"/>
          <w:szCs w:val="32"/>
          <w:lang w:val="en-US" w:eastAsia="zh-CN" w:bidi="ar"/>
        </w:rPr>
        <w:t>【摘要】</w:t>
      </w:r>
      <w:r>
        <w:rPr>
          <w:rFonts w:hint="default" w:ascii="Times New Roman" w:hAnsi="Times New Roman" w:eastAsia="仿宋_GB2312" w:cs="Times New Roman"/>
          <w:i w:val="0"/>
          <w:caps w:val="0"/>
          <w:spacing w:val="0"/>
          <w:kern w:val="0"/>
          <w:sz w:val="32"/>
          <w:szCs w:val="32"/>
          <w:shd w:val="clear" w:color="auto" w:fill="FFFFFF"/>
          <w:lang w:val="en-US" w:eastAsia="zh-CN" w:bidi="ar"/>
        </w:rPr>
        <w:t>中山市坦洲镇依法对某公司利用临时软管逃避监管方式排放水污染物的行为进行立案调查，依据《中华人民共和国水污染防治法》第八十三条第（三）项，作出罚款人民币二十五万元的行政处罚决定，并移送至中山市公安局实施行政拘留。</w:t>
      </w:r>
    </w:p>
    <w:p w14:paraId="6F7EF9D4">
      <w:pPr>
        <w:keepNext w:val="0"/>
        <w:keepLines w:val="0"/>
        <w:pageBreakBefore w:val="0"/>
        <w:widowControl w:val="0"/>
        <w:suppressLineNumbers w:val="0"/>
        <w:kinsoku/>
        <w:wordWrap/>
        <w:overflowPunct w:val="0"/>
        <w:topLinePunct/>
        <w:autoSpaceDE/>
        <w:autoSpaceDN/>
        <w:bidi w:val="0"/>
        <w:adjustRightInd w:val="0"/>
        <w:snapToGrid/>
        <w:spacing w:before="0" w:beforeAutospacing="0" w:after="0" w:afterAutospacing="0" w:line="560" w:lineRule="exact"/>
        <w:ind w:left="0" w:right="0" w:firstLine="616" w:firstLineChars="200"/>
        <w:jc w:val="both"/>
        <w:textAlignment w:val="auto"/>
        <w:rPr>
          <w:rFonts w:hint="default" w:ascii="Times New Roman" w:hAnsi="Times New Roman" w:eastAsia="黑体" w:cs="Times New Roman"/>
          <w:b w:val="0"/>
          <w:bCs w:val="0"/>
          <w:spacing w:val="-6"/>
          <w:kern w:val="2"/>
          <w:sz w:val="32"/>
          <w:szCs w:val="32"/>
        </w:rPr>
      </w:pPr>
      <w:r>
        <w:rPr>
          <w:rFonts w:hint="default" w:ascii="Times New Roman" w:hAnsi="Times New Roman" w:eastAsia="黑体" w:cs="Times New Roman"/>
          <w:b w:val="0"/>
          <w:bCs w:val="0"/>
          <w:spacing w:val="-6"/>
          <w:kern w:val="2"/>
          <w:sz w:val="32"/>
          <w:szCs w:val="32"/>
          <w:lang w:val="en-US" w:eastAsia="zh-CN" w:bidi="ar"/>
        </w:rPr>
        <w:t>一、案情简介</w:t>
      </w:r>
    </w:p>
    <w:p w14:paraId="23F54DBF">
      <w:pPr>
        <w:keepNext w:val="0"/>
        <w:keepLines w:val="0"/>
        <w:pageBreakBefore w:val="0"/>
        <w:widowControl w:val="0"/>
        <w:suppressLineNumbers w:val="0"/>
        <w:kinsoku/>
        <w:wordWrap/>
        <w:overflowPunct w:val="0"/>
        <w:topLinePunct/>
        <w:autoSpaceDE/>
        <w:autoSpaceDN/>
        <w:bidi w:val="0"/>
        <w:adjustRightInd w:val="0"/>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i w:val="0"/>
          <w:caps w:val="0"/>
          <w:spacing w:val="0"/>
          <w:kern w:val="0"/>
          <w:sz w:val="32"/>
          <w:szCs w:val="32"/>
          <w:shd w:val="clear" w:color="auto" w:fill="FFFFFF"/>
          <w:lang w:val="en-US" w:eastAsia="zh-CN" w:bidi="ar"/>
        </w:rPr>
      </w:pPr>
      <w:r>
        <w:rPr>
          <w:rFonts w:hint="default" w:ascii="Times New Roman" w:hAnsi="Times New Roman" w:eastAsia="仿宋_GB2312" w:cs="Times New Roman"/>
          <w:i w:val="0"/>
          <w:caps w:val="0"/>
          <w:spacing w:val="0"/>
          <w:kern w:val="0"/>
          <w:sz w:val="32"/>
          <w:szCs w:val="32"/>
          <w:shd w:val="clear" w:color="auto" w:fill="FFFFFF"/>
          <w:lang w:val="en-US" w:eastAsia="zh-CN" w:bidi="ar"/>
        </w:rPr>
        <w:t>为遏制夜间偷排行为，2025年5月，中山市坦洲镇人民政府开展专项执法行动，执法人员来到位于某公司（以下简称“当事人”）经营场所进行夜间检查，现场检查时，当事人正常生产，振动抛光机及磁力清洗机正在运行，产生的清洗废水经沉淀后进入转移清洗废水储存罐。执法人员发现当事人转移清洗废水储存罐底部临时连接有一条15米长的软胶管，连接处设有开关，开关处于开启状态，软管延伸至厂区东南侧市政管网，现场有灰色污水正通过软管排入市政管网。执法人员当场责令停止违法行为，并委托第三方检测机构对储存罐内废水进行采样检测。</w:t>
      </w:r>
    </w:p>
    <w:p w14:paraId="0649E127">
      <w:pPr>
        <w:keepNext w:val="0"/>
        <w:keepLines w:val="0"/>
        <w:pageBreakBefore w:val="0"/>
        <w:widowControl w:val="0"/>
        <w:suppressLineNumbers w:val="0"/>
        <w:kinsoku/>
        <w:wordWrap/>
        <w:overflowPunct w:val="0"/>
        <w:topLinePunct/>
        <w:autoSpaceDE/>
        <w:autoSpaceDN/>
        <w:bidi w:val="0"/>
        <w:adjustRightInd w:val="0"/>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i w:val="0"/>
          <w:caps w:val="0"/>
          <w:spacing w:val="0"/>
          <w:kern w:val="0"/>
          <w:sz w:val="32"/>
          <w:szCs w:val="32"/>
          <w:shd w:val="clear" w:color="auto" w:fill="FFFFFF"/>
          <w:lang w:val="en-US" w:eastAsia="zh-CN" w:bidi="ar"/>
        </w:rPr>
      </w:pPr>
      <w:r>
        <w:rPr>
          <w:rFonts w:hint="default" w:ascii="Times New Roman" w:hAnsi="Times New Roman" w:eastAsia="仿宋_GB2312" w:cs="Times New Roman"/>
          <w:i w:val="0"/>
          <w:caps w:val="0"/>
          <w:spacing w:val="0"/>
          <w:kern w:val="0"/>
          <w:sz w:val="32"/>
          <w:szCs w:val="32"/>
          <w:shd w:val="clear" w:color="auto" w:fill="FFFFFF"/>
          <w:lang w:val="en-US" w:eastAsia="zh-CN" w:bidi="ar"/>
        </w:rPr>
        <w:t>检测结果显示：废水中化学需氧量浓度为1.78×10³ mg/L、悬浮物浓度为238 mg/L、氨氮浓度为14.6 mg/L、石油类浓度为12.4 mg/L，超出《水污染物排放限值》（DB44/26-2001）的排放标准。</w:t>
      </w:r>
    </w:p>
    <w:p w14:paraId="588125EF">
      <w:pPr>
        <w:keepNext w:val="0"/>
        <w:keepLines w:val="0"/>
        <w:pageBreakBefore w:val="0"/>
        <w:widowControl w:val="0"/>
        <w:suppressLineNumbers w:val="0"/>
        <w:kinsoku/>
        <w:wordWrap/>
        <w:overflowPunct w:val="0"/>
        <w:topLinePunct/>
        <w:autoSpaceDE/>
        <w:autoSpaceDN/>
        <w:bidi w:val="0"/>
        <w:adjustRightInd w:val="0"/>
        <w:snapToGrid/>
        <w:spacing w:before="0" w:beforeAutospacing="0" w:after="0" w:afterAutospacing="0" w:line="560" w:lineRule="exact"/>
        <w:ind w:left="0" w:right="0" w:firstLine="616" w:firstLineChars="200"/>
        <w:jc w:val="both"/>
        <w:textAlignment w:val="auto"/>
        <w:rPr>
          <w:rFonts w:hint="default" w:ascii="Times New Roman" w:hAnsi="Times New Roman" w:eastAsia="黑体" w:cs="Times New Roman"/>
          <w:b w:val="0"/>
          <w:bCs w:val="0"/>
          <w:spacing w:val="-6"/>
          <w:kern w:val="2"/>
          <w:sz w:val="28"/>
          <w:szCs w:val="28"/>
        </w:rPr>
      </w:pPr>
      <w:r>
        <w:rPr>
          <w:rFonts w:hint="default" w:ascii="Times New Roman" w:hAnsi="Times New Roman" w:eastAsia="黑体" w:cs="Times New Roman"/>
          <w:b w:val="0"/>
          <w:bCs w:val="0"/>
          <w:spacing w:val="-6"/>
          <w:kern w:val="2"/>
          <w:sz w:val="32"/>
          <w:szCs w:val="32"/>
          <w:lang w:val="en-US" w:eastAsia="zh-CN" w:bidi="ar"/>
        </w:rPr>
        <w:t>二、查处情况</w:t>
      </w:r>
    </w:p>
    <w:p w14:paraId="65B1BE10">
      <w:pPr>
        <w:keepNext w:val="0"/>
        <w:keepLines w:val="0"/>
        <w:pageBreakBefore w:val="0"/>
        <w:widowControl w:val="0"/>
        <w:suppressLineNumbers w:val="0"/>
        <w:kinsoku/>
        <w:wordWrap/>
        <w:overflowPunct w:val="0"/>
        <w:topLinePunct/>
        <w:autoSpaceDE/>
        <w:autoSpaceDN/>
        <w:bidi w:val="0"/>
        <w:adjustRightInd w:val="0"/>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i w:val="0"/>
          <w:caps w:val="0"/>
          <w:spacing w:val="0"/>
          <w:kern w:val="0"/>
          <w:sz w:val="32"/>
          <w:szCs w:val="32"/>
          <w:shd w:val="clear" w:color="auto" w:fill="FFFFFF"/>
          <w:lang w:val="en-US" w:eastAsia="zh-CN" w:bidi="ar"/>
        </w:rPr>
      </w:pPr>
      <w:r>
        <w:rPr>
          <w:rFonts w:hint="default" w:ascii="Times New Roman" w:hAnsi="Times New Roman" w:eastAsia="仿宋_GB2312" w:cs="Times New Roman"/>
          <w:i w:val="0"/>
          <w:caps w:val="0"/>
          <w:spacing w:val="0"/>
          <w:kern w:val="0"/>
          <w:sz w:val="32"/>
          <w:szCs w:val="32"/>
          <w:shd w:val="clear" w:color="auto" w:fill="FFFFFF"/>
          <w:lang w:val="en-US" w:eastAsia="zh-CN" w:bidi="ar"/>
        </w:rPr>
        <w:t>上述行为违反了《中华人民共和国水污染防治法》第三十九条“禁止利用渗井、渗坑、裂隙、溶洞，私设暗管，篡改、伪造监测数据，或者不正常运行水污染防治设施等逃避监管的方式排放水污染物。”的规定。</w:t>
      </w:r>
    </w:p>
    <w:p w14:paraId="315161DC">
      <w:pPr>
        <w:keepNext w:val="0"/>
        <w:keepLines w:val="0"/>
        <w:pageBreakBefore w:val="0"/>
        <w:widowControl w:val="0"/>
        <w:suppressLineNumbers w:val="0"/>
        <w:kinsoku/>
        <w:wordWrap/>
        <w:overflowPunct w:val="0"/>
        <w:topLinePunct/>
        <w:autoSpaceDE/>
        <w:autoSpaceDN/>
        <w:bidi w:val="0"/>
        <w:adjustRightInd w:val="0"/>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i w:val="0"/>
          <w:caps w:val="0"/>
          <w:spacing w:val="0"/>
          <w:kern w:val="0"/>
          <w:sz w:val="32"/>
          <w:szCs w:val="32"/>
          <w:shd w:val="clear" w:color="auto" w:fill="FFFFFF"/>
          <w:lang w:val="en-US" w:eastAsia="zh-CN" w:bidi="ar"/>
        </w:rPr>
      </w:pPr>
      <w:r>
        <w:rPr>
          <w:rFonts w:hint="default" w:ascii="Times New Roman" w:hAnsi="Times New Roman" w:eastAsia="仿宋_GB2312" w:cs="Times New Roman"/>
          <w:i w:val="0"/>
          <w:caps w:val="0"/>
          <w:spacing w:val="0"/>
          <w:kern w:val="0"/>
          <w:sz w:val="32"/>
          <w:szCs w:val="32"/>
          <w:shd w:val="clear" w:color="auto" w:fill="FFFFFF"/>
          <w:lang w:val="en-US" w:eastAsia="zh-CN" w:bidi="ar"/>
        </w:rPr>
        <w:t>依据《中华人民共和国水污染防治法》第八十三条第（三）项，结合《中山市生态环境领域行政处罚自由裁量权规定》，2025年7月，坦洲镇人民政府依法对当事人作出行政处罚决定，罚款人民币二十五万元。2025年8月，案件移送至中山市公安局实施行政拘留。</w:t>
      </w:r>
    </w:p>
    <w:p w14:paraId="1CC6478B">
      <w:pPr>
        <w:keepNext w:val="0"/>
        <w:keepLines w:val="0"/>
        <w:pageBreakBefore w:val="0"/>
        <w:widowControl w:val="0"/>
        <w:suppressLineNumbers w:val="0"/>
        <w:kinsoku/>
        <w:wordWrap/>
        <w:overflowPunct w:val="0"/>
        <w:topLinePunct/>
        <w:autoSpaceDE/>
        <w:autoSpaceDN/>
        <w:bidi w:val="0"/>
        <w:adjustRightInd w:val="0"/>
        <w:snapToGrid/>
        <w:spacing w:before="0" w:beforeAutospacing="0" w:after="0" w:afterAutospacing="0" w:line="560" w:lineRule="exact"/>
        <w:ind w:left="0" w:right="0" w:firstLine="616" w:firstLineChars="200"/>
        <w:jc w:val="both"/>
        <w:textAlignment w:val="auto"/>
        <w:rPr>
          <w:rFonts w:hint="default" w:ascii="Times New Roman" w:hAnsi="Times New Roman" w:eastAsia="黑体" w:cs="Times New Roman"/>
          <w:b w:val="0"/>
          <w:bCs w:val="0"/>
          <w:spacing w:val="-6"/>
          <w:kern w:val="2"/>
          <w:sz w:val="32"/>
          <w:szCs w:val="32"/>
        </w:rPr>
      </w:pPr>
      <w:r>
        <w:rPr>
          <w:rFonts w:hint="default" w:ascii="Times New Roman" w:hAnsi="Times New Roman" w:eastAsia="黑体" w:cs="Times New Roman"/>
          <w:b w:val="0"/>
          <w:bCs w:val="0"/>
          <w:spacing w:val="-6"/>
          <w:kern w:val="2"/>
          <w:sz w:val="32"/>
          <w:szCs w:val="32"/>
          <w:lang w:val="en-US" w:eastAsia="zh-CN" w:bidi="ar"/>
        </w:rPr>
        <w:t>三、案件启示</w:t>
      </w:r>
    </w:p>
    <w:p w14:paraId="500DE1D1">
      <w:pPr>
        <w:keepNext w:val="0"/>
        <w:keepLines w:val="0"/>
        <w:pageBreakBefore w:val="0"/>
        <w:widowControl w:val="0"/>
        <w:suppressLineNumbers w:val="0"/>
        <w:kinsoku/>
        <w:wordWrap/>
        <w:overflowPunct w:val="0"/>
        <w:topLinePunct/>
        <w:autoSpaceDE/>
        <w:autoSpaceDN/>
        <w:bidi w:val="0"/>
        <w:adjustRightInd w:val="0"/>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i w:val="0"/>
          <w:caps w:val="0"/>
          <w:spacing w:val="0"/>
          <w:kern w:val="0"/>
          <w:sz w:val="32"/>
          <w:szCs w:val="32"/>
          <w:shd w:val="clear" w:color="auto" w:fill="FFFFFF"/>
          <w:lang w:val="en-US" w:eastAsia="zh-CN" w:bidi="ar"/>
        </w:rPr>
      </w:pPr>
      <w:r>
        <w:rPr>
          <w:rFonts w:hint="default" w:ascii="Times New Roman" w:hAnsi="Times New Roman" w:eastAsia="仿宋_GB2312" w:cs="Times New Roman"/>
          <w:i w:val="0"/>
          <w:caps w:val="0"/>
          <w:spacing w:val="0"/>
          <w:kern w:val="0"/>
          <w:sz w:val="32"/>
          <w:szCs w:val="32"/>
          <w:shd w:val="clear" w:color="auto" w:fill="FFFFFF"/>
          <w:lang w:val="en-US" w:eastAsia="zh-CN" w:bidi="ar"/>
        </w:rPr>
        <w:t>本案针对夜间违法排污的高发特点，采取专项检查方式，精准锁定当事人利用夜色掩护、通过临时软管逃避监管的偷排行为。同时，执法机关秉持“以案促改”的原则，在依法实施行政处罚的同时，督促企业封堵废水储存罐连接口、安装清洗用水计量设施，并开展后续复查以确保落实整改到位，实现了惩戒违法与教育引导相结合、严格执法与规范提升相统一。</w:t>
      </w:r>
    </w:p>
    <w:p w14:paraId="60252E53">
      <w:pPr>
        <w:pStyle w:val="5"/>
        <w:numPr>
          <w:ilvl w:val="0"/>
          <w:numId w:val="0"/>
        </w:numPr>
        <w:spacing w:line="560" w:lineRule="exact"/>
        <w:ind w:firstLine="640" w:firstLineChars="200"/>
        <w:jc w:val="center"/>
        <w:rPr>
          <w:rFonts w:hint="default" w:ascii="Times New Roman" w:hAnsi="Times New Roman" w:eastAsia="仿宋_GB2312" w:cs="Times New Roman"/>
          <w:sz w:val="32"/>
          <w:szCs w:val="40"/>
          <w:lang w:val="en-US" w:eastAsia="zh-CN"/>
        </w:rPr>
      </w:pPr>
    </w:p>
    <w:p w14:paraId="4BE9454A">
      <w:pPr>
        <w:pStyle w:val="5"/>
        <w:numPr>
          <w:ilvl w:val="0"/>
          <w:numId w:val="0"/>
        </w:numPr>
        <w:spacing w:line="560" w:lineRule="exact"/>
        <w:ind w:firstLine="640" w:firstLineChars="200"/>
        <w:jc w:val="center"/>
        <w:rPr>
          <w:rFonts w:hint="default" w:ascii="Times New Roman" w:hAnsi="Times New Roman" w:eastAsia="仿宋_GB2312" w:cs="Times New Roman"/>
          <w:sz w:val="32"/>
          <w:szCs w:val="40"/>
          <w:lang w:val="en-US" w:eastAsia="zh-CN"/>
        </w:rPr>
      </w:pPr>
    </w:p>
    <w:p w14:paraId="40C22B7D">
      <w:pPr>
        <w:pStyle w:val="5"/>
        <w:numPr>
          <w:ilvl w:val="0"/>
          <w:numId w:val="0"/>
        </w:numPr>
        <w:ind w:firstLine="640" w:firstLineChars="200"/>
        <w:jc w:val="both"/>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drawing>
          <wp:inline distT="0" distB="0" distL="114300" distR="114300">
            <wp:extent cx="4188460" cy="2792730"/>
            <wp:effectExtent l="0" t="0" r="2540" b="7620"/>
            <wp:docPr id="1" name="图片 1" descr="DSC074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DSC07455(1)"/>
                    <pic:cNvPicPr>
                      <a:picLocks noChangeAspect="1"/>
                    </pic:cNvPicPr>
                  </pic:nvPicPr>
                  <pic:blipFill>
                    <a:blip r:embed="rId4"/>
                    <a:stretch>
                      <a:fillRect/>
                    </a:stretch>
                  </pic:blipFill>
                  <pic:spPr>
                    <a:xfrm>
                      <a:off x="0" y="0"/>
                      <a:ext cx="4188460" cy="2792730"/>
                    </a:xfrm>
                    <a:prstGeom prst="rect">
                      <a:avLst/>
                    </a:prstGeom>
                    <a:noFill/>
                    <a:ln>
                      <a:noFill/>
                    </a:ln>
                  </pic:spPr>
                </pic:pic>
              </a:graphicData>
            </a:graphic>
          </wp:inline>
        </w:drawing>
      </w:r>
    </w:p>
    <w:p w14:paraId="677A6865">
      <w:pPr>
        <w:ind w:firstLine="640"/>
        <w:jc w:val="center"/>
        <w:rPr>
          <w:rFonts w:hint="default" w:ascii="仿宋_GB2312" w:hAnsi="仿宋_GB2312" w:eastAsia="仿宋_GB2312" w:cs="仿宋_GB2312"/>
          <w:sz w:val="32"/>
          <w:szCs w:val="40"/>
          <w:lang w:val="en-US" w:eastAsia="zh-CN"/>
        </w:rPr>
      </w:pPr>
      <w:r>
        <w:rPr>
          <w:rFonts w:hint="eastAsia" w:ascii="华文仿宋" w:hAnsi="华文仿宋" w:eastAsia="华文仿宋" w:cs="华文仿宋"/>
          <w:lang w:val="en-US" w:eastAsia="zh-CN"/>
        </w:rPr>
        <w:t>图一 清洗废水储存罐与连接的排水软管</w:t>
      </w:r>
    </w:p>
    <w:p w14:paraId="55DA8ECD">
      <w:pPr>
        <w:numPr>
          <w:ilvl w:val="0"/>
          <w:numId w:val="0"/>
        </w:numPr>
        <w:jc w:val="center"/>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drawing>
          <wp:inline distT="0" distB="0" distL="114300" distR="114300">
            <wp:extent cx="4245610" cy="2830830"/>
            <wp:effectExtent l="0" t="0" r="2540" b="7620"/>
            <wp:docPr id="2" name="图片 2" descr="DSC0746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DSC07460(1)"/>
                    <pic:cNvPicPr>
                      <a:picLocks noChangeAspect="1"/>
                    </pic:cNvPicPr>
                  </pic:nvPicPr>
                  <pic:blipFill>
                    <a:blip r:embed="rId5"/>
                    <a:stretch>
                      <a:fillRect/>
                    </a:stretch>
                  </pic:blipFill>
                  <pic:spPr>
                    <a:xfrm>
                      <a:off x="0" y="0"/>
                      <a:ext cx="4245610" cy="2830830"/>
                    </a:xfrm>
                    <a:prstGeom prst="rect">
                      <a:avLst/>
                    </a:prstGeom>
                    <a:noFill/>
                    <a:ln>
                      <a:noFill/>
                    </a:ln>
                  </pic:spPr>
                </pic:pic>
              </a:graphicData>
            </a:graphic>
          </wp:inline>
        </w:drawing>
      </w:r>
    </w:p>
    <w:p w14:paraId="5A047BC3">
      <w:pPr>
        <w:ind w:firstLine="640"/>
        <w:jc w:val="center"/>
        <w:rPr>
          <w:rFonts w:hint="default" w:ascii="华文仿宋" w:hAnsi="华文仿宋" w:eastAsia="华文仿宋" w:cs="华文仿宋"/>
          <w:lang w:val="en-US" w:eastAsia="zh-CN"/>
        </w:rPr>
      </w:pPr>
      <w:r>
        <w:rPr>
          <w:rFonts w:hint="eastAsia" w:ascii="华文仿宋" w:hAnsi="华文仿宋" w:eastAsia="华文仿宋" w:cs="华文仿宋"/>
          <w:lang w:val="en-US" w:eastAsia="zh-CN"/>
        </w:rPr>
        <w:t>图二 软管废水正在排放</w:t>
      </w:r>
    </w:p>
    <w:p w14:paraId="7DFBD9DE">
      <w:pPr>
        <w:keepNext w:val="0"/>
        <w:keepLines w:val="0"/>
        <w:pageBreakBefore w:val="0"/>
        <w:widowControl/>
        <w:suppressLineNumbers w:val="0"/>
        <w:kinsoku/>
        <w:wordWrap/>
        <w:overflowPunct w:val="0"/>
        <w:topLinePunct/>
        <w:autoSpaceDN/>
        <w:bidi w:val="0"/>
        <w:adjustRightInd w:val="0"/>
        <w:spacing w:before="0" w:beforeAutospacing="0" w:after="0" w:afterAutospacing="0" w:line="560" w:lineRule="exact"/>
        <w:ind w:right="0" w:firstLine="4020" w:firstLineChars="1500"/>
        <w:jc w:val="left"/>
        <w:textAlignment w:val="auto"/>
        <w:rPr>
          <w:rFonts w:hint="eastAsia" w:ascii="仿宋_GB2312" w:hAnsi="Times New Roman" w:eastAsia="仿宋_GB2312" w:cs="仿宋_GB2312"/>
          <w:spacing w:val="-6"/>
          <w:kern w:val="2"/>
          <w:sz w:val="28"/>
          <w:szCs w:val="28"/>
          <w:lang w:val="en-US" w:eastAsia="zh-CN" w:bidi="ar"/>
        </w:rPr>
      </w:pPr>
    </w:p>
    <w:p w14:paraId="6D26FFFE">
      <w:pPr>
        <w:keepNext w:val="0"/>
        <w:keepLines w:val="0"/>
        <w:pageBreakBefore w:val="0"/>
        <w:widowControl/>
        <w:suppressLineNumbers w:val="0"/>
        <w:kinsoku/>
        <w:wordWrap/>
        <w:overflowPunct w:val="0"/>
        <w:topLinePunct/>
        <w:autoSpaceDN/>
        <w:bidi w:val="0"/>
        <w:adjustRightInd w:val="0"/>
        <w:spacing w:before="0" w:beforeAutospacing="0" w:after="0" w:afterAutospacing="0" w:line="560" w:lineRule="exact"/>
        <w:ind w:right="0" w:firstLine="4020" w:firstLineChars="1500"/>
        <w:jc w:val="left"/>
        <w:textAlignment w:val="auto"/>
        <w:rPr>
          <w:rFonts w:hint="eastAsia" w:ascii="仿宋_GB2312" w:hAnsi="Times New Roman" w:eastAsia="仿宋_GB2312" w:cs="仿宋_GB2312"/>
          <w:spacing w:val="-6"/>
          <w:kern w:val="2"/>
          <w:sz w:val="28"/>
          <w:szCs w:val="28"/>
          <w:lang w:val="en-US" w:eastAsia="zh-CN" w:bidi="ar"/>
        </w:rPr>
      </w:pPr>
      <w:r>
        <w:rPr>
          <w:rFonts w:hint="eastAsia" w:ascii="仿宋_GB2312" w:hAnsi="Times New Roman" w:eastAsia="仿宋_GB2312" w:cs="仿宋_GB2312"/>
          <w:spacing w:val="-6"/>
          <w:kern w:val="2"/>
          <w:sz w:val="28"/>
          <w:szCs w:val="28"/>
          <w:lang w:val="en-US" w:eastAsia="zh-CN" w:bidi="ar"/>
        </w:rPr>
        <w:t>（坦洲镇生态环境保护局供稿）</w:t>
      </w:r>
    </w:p>
    <w:p w14:paraId="7DE903C2">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黑体_GBK">
    <w:panose1 w:val="02000000000000000000"/>
    <w:charset w:val="86"/>
    <w:family w:val="auto"/>
    <w:pitch w:val="default"/>
    <w:sig w:usb0="00000001" w:usb1="08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华文仿宋">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E1DAC17E"/>
    <w:rsid w:val="B9DBBBA9"/>
    <w:rsid w:val="E1DAC1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Indent 2"/>
    <w:basedOn w:val="1"/>
    <w:qFormat/>
    <w:uiPriority w:val="0"/>
    <w:pPr>
      <w:spacing w:after="120" w:line="480" w:lineRule="auto"/>
      <w:ind w:left="420" w:leftChars="200"/>
    </w:pPr>
  </w:style>
  <w:style w:type="paragraph" w:customStyle="1" w:styleId="5">
    <w:name w:val="Normal Indent1"/>
    <w:basedOn w:val="1"/>
    <w:qFormat/>
    <w:uiPriority w:val="99"/>
    <w:pPr>
      <w:spacing w:line="360" w:lineRule="auto"/>
      <w:ind w:firstLine="20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Office_12.9.0.21301_F1E327BC-269C-435d-A152-05C5408002CA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2026-08-20T11:16:00Z</dcterms:created>
  <dc:creator>user</dc:creator>
  <cp:lastModifiedBy>user</cp:lastModifiedBy>
  <dcterms:modified xsi:type="dcterms:W3CDTF">2026-08-20T11:18:55Z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2052-12.9.0.21301</vt:lpwstr>
  </property>
  <property fmtid="{D5CDD505-2E9C-101B-9397-08002B2CF9AE}" pid="3" name="ICV">
    <vt:lpwstr>3672A4AF77EF8287A671866AB7223524_41</vt:lpwstr>
  </property>
</Properties>
</file>