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38860">
      <w:pPr>
        <w:keepNext w:val="0"/>
        <w:keepLines w:val="0"/>
        <w:widowControl/>
        <w:suppressLineNumbers w:val="0"/>
        <w:overflowPunct w:val="0"/>
        <w:topLinePunct/>
        <w:autoSpaceDE w:val="0"/>
        <w:autoSpaceDN/>
        <w:adjustRightInd w:val="0"/>
        <w:spacing w:beforeAutospacing="0" w:after="0" w:afterAutospacing="0" w:line="560" w:lineRule="exact"/>
        <w:ind w:left="0" w:right="0"/>
        <w:jc w:val="center"/>
        <w:rPr>
          <w:rFonts w:hint="eastAsia" w:ascii="方正黑体_GBK" w:hAnsi="方正黑体_GBK" w:eastAsia="方正黑体_GBK" w:cs="方正黑体_GBK"/>
          <w:b w:val="0"/>
          <w:bCs w:val="0"/>
          <w:i w:val="0"/>
          <w:iCs w:val="0"/>
          <w:caps w:val="0"/>
          <w:color w:val="131922"/>
          <w:spacing w:val="0"/>
          <w:kern w:val="0"/>
          <w:sz w:val="44"/>
          <w:szCs w:val="44"/>
          <w:shd w:val="clear" w:color="auto" w:fill="FFFFFF"/>
        </w:rPr>
      </w:pPr>
      <w:r>
        <w:rPr>
          <w:rFonts w:hint="eastAsia" w:ascii="方正黑体_GBK" w:hAnsi="方正黑体_GBK" w:eastAsia="方正黑体_GBK" w:cs="方正黑体_GBK"/>
          <w:b w:val="0"/>
          <w:bCs w:val="0"/>
          <w:i w:val="0"/>
          <w:iCs w:val="0"/>
          <w:caps w:val="0"/>
          <w:color w:val="131922"/>
          <w:spacing w:val="0"/>
          <w:kern w:val="0"/>
          <w:sz w:val="44"/>
          <w:szCs w:val="44"/>
          <w:shd w:val="clear" w:color="auto" w:fill="FFFFFF"/>
          <w:lang w:val="en-US" w:eastAsia="zh-CN" w:bidi="ar"/>
        </w:rPr>
        <w:t>中山市查处未按照国家有关规定</w:t>
      </w:r>
    </w:p>
    <w:p w14:paraId="3FC50E18">
      <w:pPr>
        <w:keepNext w:val="0"/>
        <w:keepLines w:val="0"/>
        <w:widowControl/>
        <w:suppressLineNumbers w:val="0"/>
        <w:overflowPunct w:val="0"/>
        <w:topLinePunct/>
        <w:autoSpaceDE w:val="0"/>
        <w:autoSpaceDN/>
        <w:adjustRightInd w:val="0"/>
        <w:spacing w:beforeAutospacing="0" w:after="0" w:afterAutospacing="0" w:line="560" w:lineRule="exact"/>
        <w:ind w:left="0" w:right="0"/>
        <w:jc w:val="center"/>
        <w:rPr>
          <w:rFonts w:hint="eastAsia" w:ascii="方正黑体_GBK" w:hAnsi="方正黑体_GBK" w:eastAsia="方正黑体_GBK" w:cs="方正黑体_GBK"/>
          <w:b w:val="0"/>
          <w:bCs w:val="0"/>
          <w:i w:val="0"/>
          <w:iCs w:val="0"/>
          <w:caps w:val="0"/>
          <w:color w:val="131922"/>
          <w:spacing w:val="0"/>
          <w:kern w:val="0"/>
          <w:sz w:val="44"/>
          <w:szCs w:val="44"/>
          <w:shd w:val="clear" w:color="auto" w:fill="FFFFFF"/>
        </w:rPr>
      </w:pPr>
      <w:r>
        <w:rPr>
          <w:rFonts w:hint="eastAsia" w:ascii="方正黑体_GBK" w:hAnsi="方正黑体_GBK" w:eastAsia="方正黑体_GBK" w:cs="方正黑体_GBK"/>
          <w:b w:val="0"/>
          <w:bCs w:val="0"/>
          <w:i w:val="0"/>
          <w:iCs w:val="0"/>
          <w:caps w:val="0"/>
          <w:color w:val="131922"/>
          <w:spacing w:val="0"/>
          <w:kern w:val="0"/>
          <w:sz w:val="44"/>
          <w:szCs w:val="44"/>
          <w:shd w:val="clear" w:color="auto" w:fill="FFFFFF"/>
          <w:lang w:val="en-US" w:eastAsia="zh-CN" w:bidi="ar"/>
        </w:rPr>
        <w:t>申报危险废物有关资料案件</w:t>
      </w:r>
    </w:p>
    <w:p w14:paraId="7C308D95">
      <w:pPr>
        <w:keepNext w:val="0"/>
        <w:keepLines w:val="0"/>
        <w:pageBreakBefore w:val="0"/>
        <w:widowControl w:val="0"/>
        <w:suppressLineNumbers w:val="0"/>
        <w:kinsoku/>
        <w:wordWrap/>
        <w:overflowPunct w:val="0"/>
        <w:topLinePunct/>
        <w:autoSpaceDE w:val="0"/>
        <w:autoSpaceDN/>
        <w:bidi w:val="0"/>
        <w:adjustRightInd w:val="0"/>
        <w:snapToGrid w:val="0"/>
        <w:spacing w:beforeAutospacing="0" w:after="0" w:afterAutospacing="0" w:line="560" w:lineRule="exact"/>
        <w:ind w:left="0" w:right="0" w:firstLine="616" w:firstLineChars="200"/>
        <w:jc w:val="both"/>
        <w:textAlignment w:val="auto"/>
        <w:rPr>
          <w:rFonts w:hint="eastAsia" w:ascii="仿宋_GB2312" w:hAnsi="Calibri" w:eastAsia="仿宋_GB2312" w:cs="仿宋_GB2312"/>
          <w:spacing w:val="-6"/>
          <w:kern w:val="2"/>
          <w:sz w:val="32"/>
          <w:szCs w:val="32"/>
          <w:lang w:val="en-US" w:eastAsia="zh-CN" w:bidi="ar"/>
        </w:rPr>
      </w:pPr>
    </w:p>
    <w:p w14:paraId="7BDBE00D">
      <w:pPr>
        <w:keepNext w:val="0"/>
        <w:keepLines w:val="0"/>
        <w:pageBreakBefore w:val="0"/>
        <w:widowControl w:val="0"/>
        <w:suppressLineNumbers w:val="0"/>
        <w:kinsoku/>
        <w:wordWrap/>
        <w:overflowPunct w:val="0"/>
        <w:topLinePunct/>
        <w:autoSpaceDE w:val="0"/>
        <w:autoSpaceDN/>
        <w:bidi w:val="0"/>
        <w:adjustRightInd w:val="0"/>
        <w:snapToGrid w:val="0"/>
        <w:spacing w:beforeAutospacing="0" w:after="0" w:afterAutospacing="0" w:line="560" w:lineRule="exact"/>
        <w:ind w:left="0" w:right="0" w:firstLine="616" w:firstLineChars="200"/>
        <w:jc w:val="both"/>
        <w:textAlignment w:val="auto"/>
        <w:rPr>
          <w:rFonts w:hint="eastAsia" w:ascii="仿宋_GB2312" w:hAnsi="Arial" w:eastAsia="仿宋_GB2312" w:cs="仿宋_GB2312"/>
          <w:i w:val="0"/>
          <w:caps w:val="0"/>
          <w:spacing w:val="0"/>
          <w:kern w:val="0"/>
          <w:sz w:val="32"/>
          <w:szCs w:val="32"/>
          <w:shd w:val="clear" w:color="auto" w:fill="FFFFFF"/>
        </w:rPr>
      </w:pPr>
      <w:r>
        <w:rPr>
          <w:rFonts w:hint="eastAsia" w:ascii="仿宋_GB2312" w:hAnsi="Calibri" w:eastAsia="仿宋_GB2312" w:cs="仿宋_GB2312"/>
          <w:spacing w:val="-6"/>
          <w:kern w:val="2"/>
          <w:sz w:val="32"/>
          <w:szCs w:val="32"/>
          <w:lang w:val="en-US" w:eastAsia="zh-CN" w:bidi="ar"/>
        </w:rPr>
        <w:t>【摘要】</w:t>
      </w:r>
      <w:r>
        <w:rPr>
          <w:rFonts w:hint="eastAsia" w:ascii="仿宋_GB2312" w:hAnsi="Calibri" w:eastAsia="仿宋_GB2312" w:cs="仿宋_GB2312"/>
          <w:i w:val="0"/>
          <w:caps w:val="0"/>
          <w:spacing w:val="0"/>
          <w:kern w:val="0"/>
          <w:sz w:val="32"/>
          <w:szCs w:val="32"/>
          <w:shd w:val="clear" w:color="auto" w:fill="FFFFFF"/>
          <w:lang w:val="en-US" w:eastAsia="zh-CN" w:bidi="ar"/>
        </w:rPr>
        <w:t>中山市生态环境局查处</w:t>
      </w:r>
      <w:r>
        <w:rPr>
          <w:rFonts w:hint="eastAsia" w:ascii="仿宋_GB2312" w:hAnsi="Calibri" w:eastAsia="仿宋_GB2312" w:cs="仿宋_GB2312"/>
          <w:spacing w:val="-6"/>
          <w:kern w:val="2"/>
          <w:sz w:val="32"/>
          <w:szCs w:val="32"/>
          <w:lang w:val="en-US" w:eastAsia="zh-CN" w:bidi="ar"/>
        </w:rPr>
        <w:t>中山市某金属制品有限公司未按照国家有关规定申报危险废物有关资料</w:t>
      </w:r>
      <w:r>
        <w:rPr>
          <w:rFonts w:hint="eastAsia" w:ascii="仿宋_GB2312" w:hAnsi="Calibri" w:eastAsia="仿宋_GB2312" w:cs="仿宋_GB2312"/>
          <w:i w:val="0"/>
          <w:caps w:val="0"/>
          <w:spacing w:val="0"/>
          <w:kern w:val="0"/>
          <w:sz w:val="32"/>
          <w:szCs w:val="32"/>
          <w:shd w:val="clear" w:color="auto" w:fill="FFFFFF"/>
          <w:lang w:val="en-US" w:eastAsia="zh-CN" w:bidi="ar"/>
        </w:rPr>
        <w:t>的违法行为，依法对该公司进行行政处罚。</w:t>
      </w:r>
    </w:p>
    <w:p w14:paraId="464F9CB7">
      <w:pPr>
        <w:keepNext w:val="0"/>
        <w:keepLines w:val="0"/>
        <w:pageBreakBefore w:val="0"/>
        <w:widowControl w:val="0"/>
        <w:suppressLineNumbers w:val="0"/>
        <w:kinsoku/>
        <w:wordWrap/>
        <w:overflowPunct w:val="0"/>
        <w:topLinePunct/>
        <w:autoSpaceDN/>
        <w:bidi w:val="0"/>
        <w:adjustRightInd w:val="0"/>
        <w:spacing w:beforeAutospacing="0" w:after="0" w:afterAutospacing="0" w:line="560" w:lineRule="exact"/>
        <w:ind w:left="0" w:right="0" w:firstLine="616" w:firstLineChars="200"/>
        <w:jc w:val="left"/>
        <w:textAlignment w:val="auto"/>
        <w:rPr>
          <w:rFonts w:hint="eastAsia" w:ascii="方正黑体_GBK" w:hAnsi="方正黑体_GBK" w:eastAsia="方正黑体_GBK" w:cs="方正黑体_GBK"/>
          <w:b w:val="0"/>
          <w:bCs w:val="0"/>
          <w:spacing w:val="-6"/>
          <w:kern w:val="2"/>
          <w:sz w:val="32"/>
          <w:szCs w:val="32"/>
        </w:rPr>
      </w:pPr>
      <w:r>
        <w:rPr>
          <w:rFonts w:hint="eastAsia" w:ascii="方正黑体_GBK" w:hAnsi="方正黑体_GBK" w:eastAsia="方正黑体_GBK" w:cs="方正黑体_GBK"/>
          <w:b w:val="0"/>
          <w:bCs w:val="0"/>
          <w:spacing w:val="-6"/>
          <w:kern w:val="2"/>
          <w:sz w:val="32"/>
          <w:szCs w:val="32"/>
          <w:lang w:val="en-US" w:eastAsia="zh-CN" w:bidi="ar"/>
        </w:rPr>
        <w:t>一、案情简介</w:t>
      </w:r>
    </w:p>
    <w:p w14:paraId="4E1FBBA7">
      <w:pPr>
        <w:keepNext w:val="0"/>
        <w:keepLines w:val="0"/>
        <w:pageBreakBefore w:val="0"/>
        <w:widowControl w:val="0"/>
        <w:suppressLineNumbers w:val="0"/>
        <w:kinsoku/>
        <w:wordWrap/>
        <w:overflowPunct w:val="0"/>
        <w:topLinePunct/>
        <w:autoSpaceDE w:val="0"/>
        <w:autoSpaceDN/>
        <w:bidi w:val="0"/>
        <w:adjustRightInd w:val="0"/>
        <w:snapToGrid w:val="0"/>
        <w:spacing w:beforeAutospacing="0" w:after="0" w:afterAutospacing="0" w:line="560" w:lineRule="exact"/>
        <w:ind w:left="0" w:right="0" w:firstLine="640" w:firstLineChars="200"/>
        <w:jc w:val="both"/>
        <w:textAlignment w:val="auto"/>
        <w:rPr>
          <w:rFonts w:hint="eastAsia" w:ascii="仿宋_GB2312" w:hAnsi="Arial" w:eastAsia="仿宋_GB2312" w:cs="仿宋_GB2312"/>
          <w:spacing w:val="-6"/>
          <w:kern w:val="2"/>
          <w:sz w:val="32"/>
          <w:szCs w:val="32"/>
        </w:rPr>
      </w:pPr>
      <w:r>
        <w:rPr>
          <w:rFonts w:hint="eastAsia" w:ascii="仿宋_GB2312" w:hAnsi="Calibri" w:eastAsia="仿宋_GB2312" w:cs="仿宋_GB2312"/>
          <w:i w:val="0"/>
          <w:caps w:val="0"/>
          <w:spacing w:val="0"/>
          <w:kern w:val="0"/>
          <w:sz w:val="32"/>
          <w:szCs w:val="32"/>
          <w:shd w:val="clear" w:color="auto" w:fill="FFFFFF"/>
          <w:lang w:val="en-US" w:eastAsia="zh-CN" w:bidi="ar"/>
        </w:rPr>
        <w:t>接上级部门移交的线索，通过固体废物数智化系统反馈数据发现，</w:t>
      </w:r>
      <w:r>
        <w:rPr>
          <w:rFonts w:hint="eastAsia" w:ascii="仿宋_GB2312" w:hAnsi="Calibri" w:eastAsia="仿宋_GB2312" w:cs="仿宋_GB2312"/>
          <w:spacing w:val="-6"/>
          <w:kern w:val="2"/>
          <w:sz w:val="32"/>
          <w:szCs w:val="32"/>
          <w:lang w:val="en-US" w:eastAsia="zh-CN" w:bidi="ar"/>
        </w:rPr>
        <w:t>中山市某金属制品有限公司2023年5月28日至2025年5月10日无工序废液入库记录。执法人员组织专家现场核查，调阅该公司环评报告、危废出入库台账，仔细询问当事人涉案期间的生产状况。经核查，2023年至2025年4月期间该</w:t>
      </w:r>
      <w:r>
        <w:rPr>
          <w:rFonts w:hint="eastAsia" w:ascii="仿宋_GB2312" w:hAnsi="宋体" w:eastAsia="仿宋_GB2312" w:cs="仿宋_GB2312"/>
          <w:spacing w:val="-6"/>
          <w:kern w:val="2"/>
          <w:sz w:val="32"/>
          <w:szCs w:val="32"/>
          <w:lang w:val="en-US" w:eastAsia="zh-CN" w:bidi="ar"/>
        </w:rPr>
        <w:t>公司</w:t>
      </w:r>
      <w:r>
        <w:rPr>
          <w:rFonts w:hint="eastAsia" w:ascii="仿宋_GB2312" w:hAnsi="Calibri" w:eastAsia="仿宋_GB2312" w:cs="仿宋_GB2312"/>
          <w:spacing w:val="-6"/>
          <w:kern w:val="2"/>
          <w:sz w:val="32"/>
          <w:szCs w:val="32"/>
          <w:lang w:val="en-US" w:eastAsia="zh-CN" w:bidi="ar"/>
        </w:rPr>
        <w:t>正常生产，其生产工艺与</w:t>
      </w:r>
      <w:r>
        <w:rPr>
          <w:rFonts w:hint="eastAsia" w:ascii="仿宋_GB2312" w:eastAsia="仿宋_GB2312" w:cs="仿宋_GB2312"/>
          <w:spacing w:val="-6"/>
          <w:kern w:val="2"/>
          <w:sz w:val="32"/>
          <w:szCs w:val="32"/>
          <w:lang w:val="en-US" w:eastAsia="zh-CN" w:bidi="ar"/>
        </w:rPr>
        <w:t>该</w:t>
      </w:r>
      <w:r>
        <w:rPr>
          <w:rFonts w:hint="eastAsia" w:ascii="仿宋_GB2312" w:hAnsi="Calibri" w:eastAsia="仿宋_GB2312" w:cs="仿宋_GB2312"/>
          <w:spacing w:val="-6"/>
          <w:kern w:val="2"/>
          <w:sz w:val="32"/>
          <w:szCs w:val="32"/>
          <w:lang w:val="en-US" w:eastAsia="zh-CN" w:bidi="ar"/>
        </w:rPr>
        <w:t>公司技改扩建项目环境影响报告书所列情况一致，证实该公司生产过程中会产生相应的工序废液，但该公司未按照国家有关规定申报危险废物有关资料。</w:t>
      </w:r>
    </w:p>
    <w:p w14:paraId="1D944AC8">
      <w:pPr>
        <w:keepNext w:val="0"/>
        <w:keepLines w:val="0"/>
        <w:pageBreakBefore w:val="0"/>
        <w:widowControl w:val="0"/>
        <w:suppressLineNumbers w:val="0"/>
        <w:kinsoku/>
        <w:wordWrap/>
        <w:overflowPunct w:val="0"/>
        <w:topLinePunct/>
        <w:autoSpaceDN/>
        <w:bidi w:val="0"/>
        <w:adjustRightInd w:val="0"/>
        <w:spacing w:beforeAutospacing="0" w:after="0" w:afterAutospacing="0" w:line="560" w:lineRule="exact"/>
        <w:ind w:left="0" w:right="0" w:firstLine="616" w:firstLineChars="200"/>
        <w:jc w:val="left"/>
        <w:textAlignment w:val="auto"/>
        <w:rPr>
          <w:rFonts w:hint="eastAsia" w:ascii="方正黑体_GBK" w:hAnsi="方正黑体_GBK" w:eastAsia="方正黑体_GBK" w:cs="方正黑体_GBK"/>
          <w:b w:val="0"/>
          <w:bCs w:val="0"/>
          <w:spacing w:val="-6"/>
          <w:kern w:val="2"/>
          <w:sz w:val="32"/>
          <w:szCs w:val="32"/>
        </w:rPr>
      </w:pPr>
      <w:r>
        <w:rPr>
          <w:rFonts w:hint="eastAsia" w:ascii="方正黑体_GBK" w:hAnsi="方正黑体_GBK" w:eastAsia="方正黑体_GBK" w:cs="方正黑体_GBK"/>
          <w:b w:val="0"/>
          <w:bCs w:val="0"/>
          <w:spacing w:val="-6"/>
          <w:kern w:val="2"/>
          <w:sz w:val="32"/>
          <w:szCs w:val="32"/>
          <w:lang w:val="en-US" w:eastAsia="zh-CN" w:bidi="ar"/>
        </w:rPr>
        <w:t>二、查处情况</w:t>
      </w:r>
    </w:p>
    <w:p w14:paraId="5ABB6440">
      <w:pPr>
        <w:keepNext w:val="0"/>
        <w:keepLines w:val="0"/>
        <w:pageBreakBefore w:val="0"/>
        <w:widowControl w:val="0"/>
        <w:suppressLineNumbers w:val="0"/>
        <w:kinsoku/>
        <w:wordWrap/>
        <w:overflowPunct w:val="0"/>
        <w:topLinePunct/>
        <w:autoSpaceDE w:val="0"/>
        <w:autoSpaceDN/>
        <w:bidi w:val="0"/>
        <w:adjustRightInd w:val="0"/>
        <w:snapToGrid w:val="0"/>
        <w:spacing w:beforeAutospacing="0" w:after="0" w:afterAutospacing="0" w:line="560" w:lineRule="exact"/>
        <w:ind w:left="0" w:right="0" w:firstLine="640" w:firstLineChars="200"/>
        <w:jc w:val="both"/>
        <w:textAlignment w:val="auto"/>
        <w:rPr>
          <w:rFonts w:hint="eastAsia" w:ascii="仿宋_GB2312" w:hAnsi="Arial" w:eastAsia="仿宋_GB2312" w:cs="仿宋_GB2312"/>
          <w:i w:val="0"/>
          <w:caps w:val="0"/>
          <w:spacing w:val="0"/>
          <w:kern w:val="0"/>
          <w:sz w:val="32"/>
          <w:szCs w:val="32"/>
          <w:shd w:val="clear" w:color="auto" w:fill="FFFFFF"/>
        </w:rPr>
      </w:pPr>
      <w:r>
        <w:rPr>
          <w:rFonts w:hint="eastAsia" w:ascii="仿宋_GB2312" w:hAnsi="Calibri" w:eastAsia="仿宋_GB2312" w:cs="仿宋_GB2312"/>
          <w:i w:val="0"/>
          <w:caps w:val="0"/>
          <w:spacing w:val="0"/>
          <w:kern w:val="0"/>
          <w:sz w:val="32"/>
          <w:szCs w:val="32"/>
          <w:shd w:val="clear" w:color="auto" w:fill="FFFFFF"/>
          <w:lang w:val="en-US" w:eastAsia="zh-CN" w:bidi="ar"/>
        </w:rPr>
        <w:t>该公司的上述行为</w:t>
      </w:r>
      <w:r>
        <w:rPr>
          <w:rFonts w:hint="eastAsia" w:ascii="仿宋_GB2312" w:hAnsi="Calibri" w:eastAsia="仿宋_GB2312" w:cs="仿宋_GB2312"/>
          <w:spacing w:val="-6"/>
          <w:kern w:val="2"/>
          <w:sz w:val="32"/>
          <w:szCs w:val="32"/>
          <w:lang w:val="en-US" w:eastAsia="zh-CN" w:bidi="ar"/>
        </w:rPr>
        <w:t>违反了《中华人民共和国固体废物污染环境防治法》第七十八条第一款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的规定。</w:t>
      </w:r>
      <w:r>
        <w:rPr>
          <w:rFonts w:hint="eastAsia" w:ascii="仿宋_GB2312" w:hAnsi="Calibri" w:eastAsia="仿宋_GB2312" w:cs="仿宋_GB2312"/>
          <w:i w:val="0"/>
          <w:caps w:val="0"/>
          <w:spacing w:val="0"/>
          <w:kern w:val="0"/>
          <w:sz w:val="32"/>
          <w:szCs w:val="32"/>
          <w:shd w:val="clear" w:color="auto" w:fill="FFFFFF"/>
          <w:lang w:val="en-US" w:eastAsia="zh-CN" w:bidi="ar"/>
        </w:rPr>
        <w:t xml:space="preserve">  </w:t>
      </w:r>
    </w:p>
    <w:p w14:paraId="0D28F465">
      <w:pPr>
        <w:keepNext w:val="0"/>
        <w:keepLines w:val="0"/>
        <w:pageBreakBefore w:val="0"/>
        <w:widowControl w:val="0"/>
        <w:suppressLineNumbers w:val="0"/>
        <w:kinsoku/>
        <w:wordWrap/>
        <w:overflowPunct w:val="0"/>
        <w:topLinePunct/>
        <w:autoSpaceDE w:val="0"/>
        <w:autoSpaceDN/>
        <w:bidi w:val="0"/>
        <w:adjustRightInd w:val="0"/>
        <w:snapToGrid w:val="0"/>
        <w:spacing w:beforeAutospacing="0" w:after="0" w:afterAutospacing="0" w:line="560" w:lineRule="exact"/>
        <w:ind w:left="0" w:right="0" w:firstLine="616" w:firstLineChars="200"/>
        <w:jc w:val="both"/>
        <w:textAlignment w:val="auto"/>
        <w:rPr>
          <w:rFonts w:hint="eastAsia" w:ascii="仿宋_GB2312" w:hAnsi="Arial" w:eastAsia="仿宋_GB2312" w:cs="仿宋_GB2312"/>
          <w:i w:val="0"/>
          <w:caps w:val="0"/>
          <w:spacing w:val="0"/>
          <w:kern w:val="0"/>
          <w:sz w:val="32"/>
          <w:szCs w:val="32"/>
          <w:shd w:val="clear" w:color="auto" w:fill="FFFFFF"/>
        </w:rPr>
      </w:pPr>
      <w:r>
        <w:rPr>
          <w:rFonts w:hint="eastAsia" w:ascii="仿宋_GB2312" w:hAnsi="Calibri" w:eastAsia="仿宋_GB2312" w:cs="仿宋_GB2312"/>
          <w:spacing w:val="-6"/>
          <w:kern w:val="2"/>
          <w:sz w:val="32"/>
          <w:szCs w:val="32"/>
          <w:lang w:val="en-US" w:eastAsia="zh-CN" w:bidi="ar"/>
        </w:rPr>
        <w:t>依据《中华人民共和国固体废物污染环境防治法》第一百一十二条第一款第二项“违反本法规定，有下列行为之一，由生态环境主管部门责令改正，处以罚款，没收违法所得；情节严重的，报经有批准权的人民政府批准，可以责令停业或者关闭：（二）未按照国家有关规定制定危险废物管理计划或者申报危险废物有关资料的；”的规定，并对照《中山市生态环境领域行政处罚自由裁量表》第四章第十三条4.13裁量标准</w:t>
      </w:r>
      <w:r>
        <w:rPr>
          <w:rFonts w:hint="eastAsia" w:ascii="仿宋_GB2312" w:hAnsi="Calibri" w:eastAsia="仿宋_GB2312" w:cs="仿宋_GB2312"/>
          <w:i w:val="0"/>
          <w:caps w:val="0"/>
          <w:spacing w:val="0"/>
          <w:kern w:val="0"/>
          <w:sz w:val="32"/>
          <w:szCs w:val="32"/>
          <w:shd w:val="clear" w:color="auto" w:fill="FFFFFF"/>
          <w:lang w:val="en-US" w:eastAsia="zh-CN" w:bidi="ar"/>
        </w:rPr>
        <w:t>，中山市生态环境局对该公司作出行政处罚的决定，罚款人民币11万元。</w:t>
      </w:r>
    </w:p>
    <w:p w14:paraId="59964C6D">
      <w:pPr>
        <w:keepNext w:val="0"/>
        <w:keepLines w:val="0"/>
        <w:pageBreakBefore w:val="0"/>
        <w:widowControl w:val="0"/>
        <w:suppressLineNumbers w:val="0"/>
        <w:kinsoku/>
        <w:wordWrap/>
        <w:overflowPunct w:val="0"/>
        <w:topLinePunct/>
        <w:autoSpaceDN/>
        <w:bidi w:val="0"/>
        <w:adjustRightInd w:val="0"/>
        <w:spacing w:beforeAutospacing="0" w:after="0" w:afterAutospacing="0" w:line="560" w:lineRule="exact"/>
        <w:ind w:left="0" w:right="0" w:firstLine="616" w:firstLineChars="200"/>
        <w:jc w:val="left"/>
        <w:textAlignment w:val="auto"/>
        <w:rPr>
          <w:rFonts w:hint="eastAsia" w:ascii="方正黑体_GBK" w:hAnsi="方正黑体_GBK" w:eastAsia="方正黑体_GBK" w:cs="方正黑体_GBK"/>
          <w:b w:val="0"/>
          <w:bCs w:val="0"/>
          <w:spacing w:val="-6"/>
          <w:kern w:val="2"/>
          <w:sz w:val="32"/>
          <w:szCs w:val="32"/>
        </w:rPr>
      </w:pPr>
      <w:r>
        <w:rPr>
          <w:rFonts w:hint="eastAsia" w:ascii="方正黑体_GBK" w:hAnsi="方正黑体_GBK" w:eastAsia="方正黑体_GBK" w:cs="方正黑体_GBK"/>
          <w:b w:val="0"/>
          <w:bCs w:val="0"/>
          <w:spacing w:val="-6"/>
          <w:kern w:val="2"/>
          <w:sz w:val="32"/>
          <w:szCs w:val="32"/>
          <w:lang w:val="en-US" w:eastAsia="zh-CN" w:bidi="ar"/>
        </w:rPr>
        <w:t xml:space="preserve">三、案件启示  </w:t>
      </w:r>
    </w:p>
    <w:p w14:paraId="0A6406C7">
      <w:pPr>
        <w:keepNext w:val="0"/>
        <w:keepLines w:val="0"/>
        <w:pageBreakBefore w:val="0"/>
        <w:widowControl/>
        <w:suppressLineNumbers w:val="0"/>
        <w:kinsoku/>
        <w:wordWrap/>
        <w:overflowPunct w:val="0"/>
        <w:topLinePunct/>
        <w:autoSpaceDN/>
        <w:bidi w:val="0"/>
        <w:adjustRightInd w:val="0"/>
        <w:spacing w:beforeAutospacing="0" w:after="0" w:afterAutospacing="0" w:line="560" w:lineRule="exact"/>
        <w:ind w:left="0" w:right="0" w:firstLine="640" w:firstLineChars="200"/>
        <w:jc w:val="left"/>
        <w:textAlignment w:val="auto"/>
        <w:rPr>
          <w:rFonts w:hint="eastAsia" w:ascii="Times New Roman" w:hAnsi="Times New Roman" w:eastAsia="仿宋_GB2312" w:cs="Times New Roman"/>
          <w:i w:val="0"/>
          <w:caps w:val="0"/>
          <w:spacing w:val="0"/>
          <w:kern w:val="0"/>
          <w:sz w:val="32"/>
          <w:szCs w:val="32"/>
          <w:shd w:val="clear" w:color="auto" w:fill="FFFFFF"/>
        </w:rPr>
      </w:pPr>
      <w:r>
        <w:rPr>
          <w:rFonts w:hint="eastAsia" w:ascii="仿宋_GB2312" w:hAnsi="Times New Roman" w:eastAsia="仿宋_GB2312" w:cs="仿宋_GB2312"/>
          <w:i w:val="0"/>
          <w:caps w:val="0"/>
          <w:spacing w:val="0"/>
          <w:kern w:val="0"/>
          <w:sz w:val="32"/>
          <w:szCs w:val="32"/>
          <w:shd w:val="clear" w:color="auto" w:fill="FFFFFF"/>
          <w:lang w:val="en-US" w:eastAsia="zh-CN" w:bidi="ar"/>
        </w:rPr>
        <w:t>危险废物规范化管理是企业绿色发展的重要组成部分，也是企业落实环境保护主体责任的重要表现。上述违法行为看似是日常台账、信息申报程序性疏忽，实则暴露部分企业环境保护主体责任缺失、危废规范化管理意识薄弱。环境主管部门通过数字化管理平台，以数据赋能精准监管，引导企业利用数字化手段提升自身环境管理水平。</w:t>
      </w:r>
    </w:p>
    <w:p w14:paraId="269AA1AC">
      <w:pPr>
        <w:keepNext w:val="0"/>
        <w:keepLines w:val="0"/>
        <w:pageBreakBefore w:val="0"/>
        <w:widowControl/>
        <w:suppressLineNumbers w:val="0"/>
        <w:kinsoku/>
        <w:wordWrap/>
        <w:overflowPunct w:val="0"/>
        <w:topLinePunct/>
        <w:autoSpaceDN/>
        <w:bidi w:val="0"/>
        <w:adjustRightInd w:val="0"/>
        <w:spacing w:beforeAutospacing="0" w:after="0" w:afterAutospacing="0" w:line="560" w:lineRule="exact"/>
        <w:ind w:left="0" w:right="0"/>
        <w:jc w:val="left"/>
        <w:textAlignment w:val="auto"/>
        <w:rPr>
          <w:rFonts w:hint="eastAsia" w:ascii="Times New Roman" w:hAnsi="Times New Roman" w:eastAsia="仿宋_GB2312" w:cs="Times New Roman"/>
          <w:i w:val="0"/>
          <w:caps w:val="0"/>
          <w:spacing w:val="0"/>
          <w:kern w:val="0"/>
          <w:sz w:val="32"/>
          <w:szCs w:val="32"/>
          <w:shd w:val="clear" w:color="auto" w:fill="FFFFFF"/>
        </w:rPr>
      </w:pPr>
      <w:r>
        <w:rPr>
          <w:rFonts w:hint="eastAsia" w:ascii="Times New Roman" w:hAnsi="Times New Roman" w:eastAsia="仿宋_GB2312" w:cs="Times New Roman"/>
          <w:i w:val="0"/>
          <w:caps w:val="0"/>
          <w:spacing w:val="0"/>
          <w:kern w:val="0"/>
          <w:sz w:val="32"/>
          <w:szCs w:val="32"/>
          <w:shd w:val="clear" w:color="auto" w:fill="FFFFFF"/>
          <w:lang w:val="en-US" w:eastAsia="zh-CN" w:bidi="ar"/>
        </w:rPr>
        <w:t xml:space="preserve"> </w:t>
      </w:r>
    </w:p>
    <w:p w14:paraId="3693D435">
      <w:pPr>
        <w:keepNext w:val="0"/>
        <w:keepLines w:val="0"/>
        <w:pageBreakBefore w:val="0"/>
        <w:widowControl/>
        <w:suppressLineNumbers w:val="0"/>
        <w:kinsoku/>
        <w:wordWrap/>
        <w:overflowPunct w:val="0"/>
        <w:topLinePunct/>
        <w:autoSpaceDN/>
        <w:bidi w:val="0"/>
        <w:adjustRightInd w:val="0"/>
        <w:spacing w:beforeAutospacing="0" w:after="0" w:afterAutospacing="0" w:line="560" w:lineRule="exact"/>
        <w:ind w:left="0" w:right="0" w:firstLine="5360" w:firstLineChars="2000"/>
        <w:jc w:val="left"/>
        <w:textAlignment w:val="auto"/>
        <w:rPr>
          <w:rFonts w:hint="eastAsia" w:ascii="Times New Roman" w:hAnsi="Times New Roman" w:eastAsia="仿宋_GB2312" w:cs="Times New Roman"/>
          <w:spacing w:val="-6"/>
          <w:kern w:val="2"/>
          <w:sz w:val="28"/>
          <w:szCs w:val="28"/>
        </w:rPr>
      </w:pPr>
      <w:r>
        <w:rPr>
          <w:rFonts w:hint="eastAsia" w:ascii="仿宋_GB2312" w:hAnsi="Times New Roman" w:eastAsia="仿宋_GB2312" w:cs="仿宋_GB2312"/>
          <w:spacing w:val="-6"/>
          <w:kern w:val="2"/>
          <w:sz w:val="28"/>
          <w:szCs w:val="28"/>
          <w:lang w:val="en-US" w:eastAsia="zh-CN" w:bidi="ar"/>
        </w:rPr>
        <w:t>（执法二科供稿）</w:t>
      </w:r>
    </w:p>
    <w:p w14:paraId="3D9CD394">
      <w:pPr>
        <w:pStyle w:val="3"/>
        <w:keepNext w:val="0"/>
        <w:keepLines w:val="0"/>
        <w:widowControl/>
        <w:suppressLineNumbers w:val="0"/>
        <w:overflowPunct w:val="0"/>
        <w:topLinePunct/>
        <w:adjustRightInd w:val="0"/>
        <w:spacing w:before="0" w:beforeAutospacing="0" w:after="120" w:afterAutospacing="0" w:line="560" w:lineRule="exact"/>
        <w:ind w:left="420" w:leftChars="200" w:right="0"/>
        <w:jc w:val="both"/>
        <w:rPr>
          <w:rFonts w:hint="eastAsia" w:ascii="Times New Roman" w:hAnsi="Times New Roman" w:eastAsia="仿宋_GB2312" w:cs="Times New Roman"/>
          <w:spacing w:val="-6"/>
          <w:kern w:val="2"/>
          <w:sz w:val="28"/>
          <w:szCs w:val="28"/>
        </w:rPr>
      </w:pPr>
      <w:r>
        <w:rPr>
          <w:rFonts w:hint="eastAsia" w:ascii="Times New Roman" w:hAnsi="Times New Roman" w:eastAsia="仿宋_GB2312" w:cs="Times New Roman"/>
          <w:spacing w:val="-6"/>
          <w:kern w:val="2"/>
          <w:sz w:val="28"/>
          <w:szCs w:val="28"/>
          <w:lang w:val="en-US" w:eastAsia="zh-CN" w:bidi="ar"/>
        </w:rPr>
        <w:t xml:space="preserve"> </w:t>
      </w:r>
    </w:p>
    <w:p w14:paraId="0B06840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B7E1B"/>
    <w:rsid w:val="DBFB7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2026-08-20T11:15:00Z</dcterms:created>
  <dc:creator>user</dc:creator>
  <cp:lastModifiedBy>user</cp:lastModifiedBy>
  <dcterms:modified xsi:type="dcterms:W3CDTF">2026-08-20T11:16:35Z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5BF5CC45ADD628C16F71866ACD4651FB_41</vt:lpwstr>
  </property>
</Properties>
</file>