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F25AB">
      <w:pPr>
        <w:keepNext w:val="0"/>
        <w:keepLines w:val="0"/>
        <w:widowControl w:val="0"/>
        <w:suppressLineNumbers w:val="0"/>
        <w:overflowPunct w:val="0"/>
        <w:topLinePunct/>
        <w:adjustRightInd w:val="0"/>
        <w:spacing w:before="0" w:beforeAutospacing="0" w:after="0" w:afterAutospacing="0" w:line="560" w:lineRule="exact"/>
        <w:ind w:left="0" w:right="0" w:firstLine="0" w:firstLineChars="0"/>
        <w:jc w:val="center"/>
        <w:rPr>
          <w:rFonts w:hint="default" w:ascii="Times New Roman" w:hAnsi="Times New Roman" w:eastAsia="方正小标宋简体" w:cs="Times New Roman"/>
          <w:b w:val="0"/>
          <w:bCs w:val="0"/>
          <w:spacing w:val="-6"/>
          <w:kern w:val="2"/>
          <w:sz w:val="44"/>
          <w:szCs w:val="44"/>
        </w:rPr>
      </w:pPr>
      <w:r>
        <w:rPr>
          <w:rFonts w:hint="default" w:ascii="Times New Roman" w:hAnsi="Times New Roman" w:eastAsia="方正小标宋简体" w:cs="Times New Roman"/>
          <w:b w:val="0"/>
          <w:bCs w:val="0"/>
          <w:spacing w:val="-6"/>
          <w:kern w:val="2"/>
          <w:sz w:val="44"/>
          <w:szCs w:val="44"/>
          <w:lang w:val="en-US" w:eastAsia="zh-CN" w:bidi="ar"/>
        </w:rPr>
        <w:t>中山市港口镇查处食品有限公司涉建设项目环境影响报告表未经批准，擅自开工</w:t>
      </w:r>
    </w:p>
    <w:p w14:paraId="574C5AF8">
      <w:pPr>
        <w:keepNext w:val="0"/>
        <w:keepLines w:val="0"/>
        <w:widowControl w:val="0"/>
        <w:suppressLineNumbers w:val="0"/>
        <w:overflowPunct w:val="0"/>
        <w:topLinePunct/>
        <w:adjustRightInd w:val="0"/>
        <w:spacing w:before="0" w:beforeAutospacing="0" w:after="0" w:afterAutospacing="0" w:line="560" w:lineRule="exact"/>
        <w:ind w:left="0" w:right="0" w:firstLine="0" w:firstLineChars="0"/>
        <w:jc w:val="center"/>
        <w:rPr>
          <w:rFonts w:hint="default" w:ascii="Times New Roman" w:hAnsi="Times New Roman" w:eastAsia="方正小标宋简体" w:cs="Times New Roman"/>
          <w:b w:val="0"/>
          <w:bCs w:val="0"/>
          <w:spacing w:val="-6"/>
          <w:kern w:val="2"/>
          <w:sz w:val="44"/>
          <w:szCs w:val="44"/>
        </w:rPr>
      </w:pPr>
      <w:r>
        <w:rPr>
          <w:rFonts w:hint="default" w:ascii="Times New Roman" w:hAnsi="Times New Roman" w:eastAsia="方正小标宋简体" w:cs="Times New Roman"/>
          <w:b w:val="0"/>
          <w:bCs w:val="0"/>
          <w:spacing w:val="-6"/>
          <w:kern w:val="2"/>
          <w:sz w:val="44"/>
          <w:szCs w:val="44"/>
          <w:lang w:val="en-US" w:eastAsia="zh-CN" w:bidi="ar"/>
        </w:rPr>
        <w:t xml:space="preserve">建设案件 </w:t>
      </w:r>
    </w:p>
    <w:p w14:paraId="7D1C18D4">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6"/>
          <w:kern w:val="2"/>
          <w:sz w:val="32"/>
          <w:szCs w:val="32"/>
          <w:lang w:val="en-US" w:eastAsia="zh-CN" w:bidi="ar"/>
        </w:rPr>
      </w:pPr>
    </w:p>
    <w:p w14:paraId="2416A000">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lang w:val="en-US" w:eastAsia="zh-CN" w:bidi="ar"/>
        </w:rPr>
        <w:t>【摘要】中山市港口镇某食品有限公司实施建设项目环境影响报告表未经批准，擅自开工建设的违法行为，当事人属于两年内首次违法，经发现后立即停止建设，危害后果轻微，最后对当事人作出不予处罚。</w:t>
      </w:r>
    </w:p>
    <w:p w14:paraId="703AACDC">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3"/>
        <w:jc w:val="both"/>
        <w:textAlignment w:val="auto"/>
        <w:rPr>
          <w:rFonts w:hint="default" w:ascii="Times New Roman" w:hAnsi="Times New Roman" w:eastAsia="黑体" w:cs="Times New Roman"/>
          <w:b w:val="0"/>
          <w:bCs w:val="0"/>
          <w:spacing w:val="-6"/>
          <w:kern w:val="2"/>
          <w:sz w:val="32"/>
          <w:szCs w:val="32"/>
        </w:rPr>
      </w:pPr>
      <w:r>
        <w:rPr>
          <w:rFonts w:hint="default" w:ascii="Times New Roman" w:hAnsi="Times New Roman" w:eastAsia="黑体" w:cs="Times New Roman"/>
          <w:b w:val="0"/>
          <w:bCs w:val="0"/>
          <w:spacing w:val="-6"/>
          <w:kern w:val="2"/>
          <w:sz w:val="32"/>
          <w:szCs w:val="32"/>
          <w:lang w:val="en-US" w:eastAsia="zh-CN" w:bidi="ar"/>
        </w:rPr>
        <w:t>一、案情简介</w:t>
      </w:r>
    </w:p>
    <w:p w14:paraId="663B6537">
      <w:pPr>
        <w:keepNext w:val="0"/>
        <w:keepLines w:val="0"/>
        <w:pageBreakBefore w:val="0"/>
        <w:widowControl w:val="0"/>
        <w:suppressLineNumbers w:val="0"/>
        <w:kinsoku/>
        <w:wordWrap/>
        <w:overflowPunct w:val="0"/>
        <w:topLinePunct/>
        <w:autoSpaceDE w:val="0"/>
        <w:autoSpaceDN/>
        <w:bidi w:val="0"/>
        <w:adjustRightInd w:val="0"/>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lang w:val="en-US" w:eastAsia="zh-CN" w:bidi="ar"/>
        </w:rPr>
        <w:t>2026年4月22日，中山市港口镇人民政府对中山市港口镇某食品有限公司进行检查，该公司位于中山市港口镇</w:t>
      </w:r>
      <w:bookmarkStart w:id="0" w:name="_GoBack"/>
      <w:bookmarkEnd w:id="0"/>
      <w:r>
        <w:rPr>
          <w:rFonts w:hint="default" w:ascii="Times New Roman" w:hAnsi="Times New Roman" w:eastAsia="仿宋_GB2312" w:cs="Times New Roman"/>
          <w:spacing w:val="-6"/>
          <w:kern w:val="2"/>
          <w:sz w:val="32"/>
          <w:szCs w:val="32"/>
          <w:lang w:val="en-US" w:eastAsia="zh-CN" w:bidi="ar"/>
        </w:rPr>
        <w:t>，主要从事雪糕、冰棍生产，现场检查发现该厂已安装制冷机组、自动生产线等生产设备及废水治理设施，该厂未能提供环境影响报批文件。该厂实施了建设项目环境影响报告表未经批准，擅自开工建设的环境违法行为。</w:t>
      </w:r>
    </w:p>
    <w:p w14:paraId="360D88EF">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3"/>
        <w:jc w:val="both"/>
        <w:textAlignment w:val="auto"/>
        <w:rPr>
          <w:rFonts w:hint="default" w:ascii="Times New Roman" w:hAnsi="Times New Roman" w:eastAsia="黑体" w:cs="Times New Roman"/>
          <w:b w:val="0"/>
          <w:bCs w:val="0"/>
          <w:spacing w:val="-6"/>
          <w:kern w:val="2"/>
          <w:sz w:val="32"/>
          <w:szCs w:val="32"/>
        </w:rPr>
      </w:pPr>
      <w:r>
        <w:rPr>
          <w:rFonts w:hint="default" w:ascii="Times New Roman" w:hAnsi="Times New Roman" w:eastAsia="黑体" w:cs="Times New Roman"/>
          <w:b w:val="0"/>
          <w:bCs w:val="0"/>
          <w:spacing w:val="-6"/>
          <w:kern w:val="2"/>
          <w:sz w:val="32"/>
          <w:szCs w:val="32"/>
          <w:lang w:val="en-US" w:eastAsia="zh-CN" w:bidi="ar"/>
        </w:rPr>
        <w:t>二、查处情况</w:t>
      </w:r>
    </w:p>
    <w:p w14:paraId="69012F73">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lang w:val="en-US" w:eastAsia="zh-CN" w:bidi="ar"/>
        </w:rPr>
        <w:t>中山市港口镇某食品有限公司违反了《中华人民共和国环境影响评价法》第二十五条“建设项目的环境影响评价文件未依法经审批部门审查或者审查后未予批准的，建设单位不得开工建设。”的规定。</w:t>
      </w:r>
    </w:p>
    <w:p w14:paraId="44BF45B7">
      <w:pPr>
        <w:keepNext w:val="0"/>
        <w:keepLines w:val="0"/>
        <w:pageBreakBefore w:val="0"/>
        <w:widowControl w:val="0"/>
        <w:suppressLineNumbers w:val="0"/>
        <w:kinsoku/>
        <w:wordWrap/>
        <w:overflowPunct w:val="0"/>
        <w:topLinePunct/>
        <w:autoSpaceDE w:val="0"/>
        <w:autoSpaceDN/>
        <w:bidi w:val="0"/>
        <w:adjustRightInd w:val="0"/>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lang w:val="en-US" w:eastAsia="zh-CN" w:bidi="ar"/>
        </w:rPr>
        <w:t>依据《中华人民共和国环境影响评价法》第三十一条第一款“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的规定。</w:t>
      </w:r>
    </w:p>
    <w:p w14:paraId="327E7512">
      <w:pPr>
        <w:keepNext w:val="0"/>
        <w:keepLines w:val="0"/>
        <w:pageBreakBefore w:val="0"/>
        <w:widowControl w:val="0"/>
        <w:suppressLineNumbers w:val="0"/>
        <w:kinsoku/>
        <w:wordWrap/>
        <w:overflowPunct w:val="0"/>
        <w:topLinePunct/>
        <w:autoSpaceDE w:val="0"/>
        <w:autoSpaceDN/>
        <w:bidi w:val="0"/>
        <w:adjustRightInd w:val="0"/>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lang w:val="en-US" w:eastAsia="zh-CN" w:bidi="ar"/>
        </w:rPr>
        <w:t>复查时企业处于停产状态，未再进行项目的建设，并且正在办理环境影响评价批复手续，按照《中山市生态环境依法不予行政处罚的轻微环境违法行为清单》序号4，该公司属于两年内首次违法，经发现后立即停产，经发现后主动实施停止建设，危害后果轻微，最终对中山市港口镇某食品有限公司作出不予处罚，并教育提醒。</w:t>
      </w:r>
    </w:p>
    <w:p w14:paraId="6F1E97BE">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3"/>
        <w:jc w:val="both"/>
        <w:textAlignment w:val="auto"/>
        <w:rPr>
          <w:rFonts w:hint="default" w:ascii="Times New Roman" w:hAnsi="Times New Roman" w:eastAsia="黑体" w:cs="Times New Roman"/>
          <w:b w:val="0"/>
          <w:bCs w:val="0"/>
          <w:spacing w:val="-6"/>
          <w:kern w:val="2"/>
          <w:sz w:val="32"/>
          <w:szCs w:val="32"/>
        </w:rPr>
      </w:pPr>
      <w:r>
        <w:rPr>
          <w:rFonts w:hint="default" w:ascii="Times New Roman" w:hAnsi="Times New Roman" w:eastAsia="黑体" w:cs="Times New Roman"/>
          <w:b w:val="0"/>
          <w:bCs w:val="0"/>
          <w:spacing w:val="-6"/>
          <w:kern w:val="2"/>
          <w:sz w:val="32"/>
          <w:szCs w:val="32"/>
          <w:lang w:val="en-US" w:eastAsia="zh-CN" w:bidi="ar"/>
        </w:rPr>
        <w:t>三、案件启示</w:t>
      </w:r>
    </w:p>
    <w:p w14:paraId="3C5B0410">
      <w:pPr>
        <w:keepNext w:val="0"/>
        <w:keepLines w:val="0"/>
        <w:pageBreakBefore w:val="0"/>
        <w:widowControl w:val="0"/>
        <w:suppressLineNumbers w:val="0"/>
        <w:kinsoku/>
        <w:wordWrap/>
        <w:overflowPunct w:val="0"/>
        <w:topLinePunct/>
        <w:autoSpaceDN/>
        <w:bidi w:val="0"/>
        <w:adjustRightInd w:val="0"/>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spacing w:val="-6"/>
          <w:kern w:val="2"/>
          <w:sz w:val="21"/>
          <w:szCs w:val="21"/>
        </w:rPr>
      </w:pPr>
      <w:r>
        <w:rPr>
          <w:rFonts w:hint="default" w:ascii="Times New Roman" w:hAnsi="Times New Roman" w:eastAsia="仿宋_GB2312" w:cs="Times New Roman"/>
          <w:spacing w:val="-6"/>
          <w:kern w:val="2"/>
          <w:sz w:val="32"/>
          <w:szCs w:val="32"/>
          <w:lang w:val="en-US" w:eastAsia="zh-CN" w:bidi="ar"/>
        </w:rPr>
        <w:t>执法既有力度又有温度。不予处罚不等于一罚了之，而是通过制发守法提醒书强化预警引导，既给予市场主体容错空间，又守住法治底线，实现法律效果与社会效果的统一。</w:t>
      </w:r>
    </w:p>
    <w:p w14:paraId="0A648481">
      <w:pPr>
        <w:ind w:firstLine="0" w:firstLineChars="0"/>
        <w:jc w:val="center"/>
        <w:rPr>
          <w:rFonts w:hint="eastAsia" w:ascii="Times New Roman" w:hAnsi="Times New Roman" w:eastAsia="仿宋" w:cs="Times New Roman"/>
          <w:lang w:eastAsia="zh-CN"/>
        </w:rPr>
      </w:pPr>
      <w:r>
        <w:rPr>
          <w:rFonts w:hint="eastAsia" w:ascii="Times New Roman" w:hAnsi="Times New Roman" w:eastAsia="仿宋" w:cs="Times New Roman"/>
          <w:lang w:eastAsia="zh-CN"/>
        </w:rPr>
        <w:drawing>
          <wp:inline distT="0" distB="0" distL="114300" distR="114300">
            <wp:extent cx="4074795" cy="3055620"/>
            <wp:effectExtent l="0" t="0" r="1905" b="11430"/>
            <wp:docPr id="2" name="图片 1" descr="6115871431903579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6115871431903579480(1)"/>
                    <pic:cNvPicPr>
                      <a:picLocks noChangeAspect="1"/>
                    </pic:cNvPicPr>
                  </pic:nvPicPr>
                  <pic:blipFill>
                    <a:blip r:embed="rId4"/>
                    <a:stretch>
                      <a:fillRect/>
                    </a:stretch>
                  </pic:blipFill>
                  <pic:spPr>
                    <a:xfrm>
                      <a:off x="0" y="0"/>
                      <a:ext cx="4074795" cy="3055620"/>
                    </a:xfrm>
                    <a:prstGeom prst="rect">
                      <a:avLst/>
                    </a:prstGeom>
                    <a:noFill/>
                    <a:ln>
                      <a:noFill/>
                    </a:ln>
                  </pic:spPr>
                </pic:pic>
              </a:graphicData>
            </a:graphic>
          </wp:inline>
        </w:drawing>
      </w:r>
    </w:p>
    <w:p w14:paraId="6C65A9BE">
      <w:pPr>
        <w:ind w:firstLine="640"/>
        <w:jc w:val="center"/>
        <w:rPr>
          <w:rFonts w:hint="eastAsia" w:ascii="华文仿宋" w:hAnsi="华文仿宋" w:eastAsia="华文仿宋" w:cs="华文仿宋"/>
          <w:lang w:val="en-US" w:eastAsia="zh-CN"/>
        </w:rPr>
      </w:pPr>
      <w:r>
        <w:rPr>
          <w:rFonts w:hint="eastAsia" w:ascii="华文仿宋" w:hAnsi="华文仿宋" w:eastAsia="华文仿宋" w:cs="华文仿宋"/>
          <w:lang w:val="en-US" w:eastAsia="zh-CN"/>
        </w:rPr>
        <w:t>对企业现场进行检查</w:t>
      </w:r>
    </w:p>
    <w:p w14:paraId="4CBEE960">
      <w:pPr>
        <w:ind w:left="0" w:leftChars="0" w:firstLine="0" w:firstLineChars="0"/>
        <w:jc w:val="center"/>
        <w:rPr>
          <w:rFonts w:hint="eastAsia"/>
        </w:rPr>
      </w:pPr>
      <w:r>
        <w:rPr>
          <w:rFonts w:hint="eastAsia"/>
        </w:rPr>
        <w:drawing>
          <wp:inline distT="0" distB="0" distL="114300" distR="114300">
            <wp:extent cx="4036060" cy="3027045"/>
            <wp:effectExtent l="0" t="0" r="2540" b="1905"/>
            <wp:docPr id="1" name="图片 2" descr="3055408462754115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3055408462754115391(1)"/>
                    <pic:cNvPicPr>
                      <a:picLocks noChangeAspect="1"/>
                    </pic:cNvPicPr>
                  </pic:nvPicPr>
                  <pic:blipFill>
                    <a:blip r:embed="rId5"/>
                    <a:stretch>
                      <a:fillRect/>
                    </a:stretch>
                  </pic:blipFill>
                  <pic:spPr>
                    <a:xfrm>
                      <a:off x="0" y="0"/>
                      <a:ext cx="4036060" cy="3027045"/>
                    </a:xfrm>
                    <a:prstGeom prst="rect">
                      <a:avLst/>
                    </a:prstGeom>
                    <a:noFill/>
                    <a:ln>
                      <a:noFill/>
                    </a:ln>
                  </pic:spPr>
                </pic:pic>
              </a:graphicData>
            </a:graphic>
          </wp:inline>
        </w:drawing>
      </w:r>
    </w:p>
    <w:p w14:paraId="732E3F0F">
      <w:pPr>
        <w:ind w:firstLine="640"/>
        <w:jc w:val="center"/>
        <w:rPr>
          <w:rFonts w:hint="default" w:ascii="华文仿宋" w:hAnsi="华文仿宋" w:eastAsia="华文仿宋" w:cs="华文仿宋"/>
          <w:lang w:val="en-US" w:eastAsia="zh-CN"/>
        </w:rPr>
      </w:pPr>
      <w:r>
        <w:rPr>
          <w:rFonts w:hint="eastAsia" w:ascii="华文仿宋" w:hAnsi="华文仿宋" w:eastAsia="华文仿宋" w:cs="华文仿宋"/>
          <w:lang w:val="en-US" w:eastAsia="zh-CN"/>
        </w:rPr>
        <w:t>企业建设情况</w:t>
      </w:r>
    </w:p>
    <w:p w14:paraId="5F28C232">
      <w:pPr>
        <w:pStyle w:val="3"/>
        <w:spacing w:before="0" w:beforeAutospacing="0" w:after="0" w:afterAutospacing="0" w:line="560" w:lineRule="exact"/>
        <w:ind w:left="0" w:leftChars="0" w:firstLine="0" w:firstLineChars="0"/>
        <w:jc w:val="center"/>
        <w:rPr>
          <w:rFonts w:hint="eastAsia" w:ascii="方正黑体_GBK" w:hAnsi="方正黑体_GBK" w:eastAsia="方正黑体_GBK" w:cs="方正黑体_GBK"/>
          <w:b w:val="0"/>
          <w:bCs w:val="0"/>
          <w:kern w:val="2"/>
          <w:sz w:val="44"/>
          <w:szCs w:val="44"/>
          <w:lang w:val="en-US" w:eastAsia="zh-CN" w:bidi="ar-SA"/>
        </w:rPr>
      </w:pPr>
    </w:p>
    <w:p w14:paraId="5AE53B70">
      <w:pPr>
        <w:ind w:left="0" w:leftChars="0" w:firstLine="0" w:firstLineChars="0"/>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                             </w:t>
      </w:r>
      <w:r>
        <w:rPr>
          <w:rFonts w:hint="eastAsia" w:ascii="仿宋_GB2312" w:hAnsi="Times New Roman" w:eastAsia="仿宋_GB2312" w:cs="仿宋_GB2312"/>
          <w:spacing w:val="-6"/>
          <w:kern w:val="2"/>
          <w:sz w:val="28"/>
          <w:szCs w:val="28"/>
          <w:lang w:val="en-US" w:eastAsia="zh-CN" w:bidi="ar"/>
        </w:rPr>
        <w:t xml:space="preserve">  （港口镇生态环境保护局供稿）</w:t>
      </w:r>
    </w:p>
    <w:p w14:paraId="4C4EA0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4BF69CA"/>
    <w:rsid w:val="7BFB2EAE"/>
    <w:rsid w:val="B4BF69CA"/>
    <w:rsid w:val="FEB3D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2026-08-20T19:17:00Z</dcterms:created>
  <dc:creator>user</dc:creator>
  <cp:lastModifiedBy>user</cp:lastModifiedBy>
  <dcterms:modified xsi:type="dcterms:W3CDTF">2026-08-21T09:42:09Z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8A35DC001506ECD8CC71866A3AB24187_41</vt:lpwstr>
  </property>
</Properties>
</file>